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BE39" w14:textId="77777777" w:rsidR="0080593E" w:rsidRPr="00FF3383" w:rsidRDefault="0080593E" w:rsidP="00FF3383">
      <w:pPr>
        <w:spacing w:after="0" w:line="240" w:lineRule="auto"/>
        <w:jc w:val="center"/>
        <w:rPr>
          <w:rFonts w:cs="Times New Roman"/>
          <w:b/>
          <w:szCs w:val="24"/>
          <w:lang w:val="id-ID"/>
        </w:rPr>
      </w:pPr>
      <w:r w:rsidRPr="00FF3383">
        <w:rPr>
          <w:rFonts w:cs="Times New Roman"/>
          <w:b/>
          <w:szCs w:val="24"/>
          <w:lang w:val="id-ID"/>
        </w:rPr>
        <w:t>PENGARUH MAKROEKONOMI DAN INDEKS SAHAM GLOBAL TERHADAP FLUKTUASI INVESTASI ASING LANGSUNG (</w:t>
      </w:r>
      <w:r w:rsidRPr="00FF3383">
        <w:rPr>
          <w:rFonts w:cs="Times New Roman"/>
          <w:b/>
          <w:i/>
          <w:szCs w:val="24"/>
          <w:lang w:val="id-ID"/>
        </w:rPr>
        <w:t>FOREIGN DIRECT INVESTMENT</w:t>
      </w:r>
      <w:r w:rsidRPr="00FF3383">
        <w:rPr>
          <w:rFonts w:cs="Times New Roman"/>
          <w:b/>
          <w:szCs w:val="24"/>
          <w:lang w:val="id-ID"/>
        </w:rPr>
        <w:t>) DI INDONESIA</w:t>
      </w:r>
    </w:p>
    <w:p w14:paraId="5DCB5F01" w14:textId="77777777" w:rsidR="0080593E" w:rsidRPr="00FF3383" w:rsidRDefault="0080593E" w:rsidP="00FF3383">
      <w:pPr>
        <w:spacing w:after="0" w:line="240" w:lineRule="auto"/>
        <w:jc w:val="center"/>
        <w:rPr>
          <w:rFonts w:cs="Times New Roman"/>
          <w:b/>
          <w:szCs w:val="24"/>
          <w:lang w:val="id-ID"/>
        </w:rPr>
      </w:pPr>
    </w:p>
    <w:p w14:paraId="5E08A272" w14:textId="77777777" w:rsidR="0080593E" w:rsidRPr="00FF3383" w:rsidRDefault="0080593E" w:rsidP="00FF3383">
      <w:pPr>
        <w:spacing w:after="0" w:line="240" w:lineRule="auto"/>
        <w:jc w:val="center"/>
        <w:rPr>
          <w:rFonts w:cs="Times New Roman"/>
          <w:b/>
          <w:szCs w:val="24"/>
          <w:lang w:val="id-ID"/>
        </w:rPr>
      </w:pPr>
      <w:r w:rsidRPr="00FF3383">
        <w:rPr>
          <w:rFonts w:cs="Times New Roman"/>
          <w:b/>
          <w:szCs w:val="24"/>
          <w:lang w:val="id-ID"/>
        </w:rPr>
        <w:t>Tanti Febi Setiawan</w:t>
      </w:r>
    </w:p>
    <w:p w14:paraId="7BDF711B" w14:textId="77777777" w:rsidR="0080593E" w:rsidRPr="00FF3383" w:rsidRDefault="0080593E" w:rsidP="00FF3383">
      <w:pPr>
        <w:spacing w:after="0" w:line="240" w:lineRule="auto"/>
        <w:jc w:val="center"/>
        <w:rPr>
          <w:rFonts w:cs="Times New Roman"/>
          <w:b/>
          <w:szCs w:val="24"/>
          <w:lang w:val="id-ID"/>
        </w:rPr>
      </w:pPr>
    </w:p>
    <w:p w14:paraId="4603102B" w14:textId="77777777" w:rsidR="0080593E" w:rsidRPr="00FF3383" w:rsidRDefault="0080593E" w:rsidP="00FF3383">
      <w:pPr>
        <w:pStyle w:val="Heading1"/>
        <w:spacing w:before="0" w:line="240" w:lineRule="auto"/>
        <w:rPr>
          <w:rFonts w:eastAsia="Times New Roman" w:cs="Times New Roman"/>
          <w:sz w:val="24"/>
          <w:szCs w:val="24"/>
          <w:lang w:val="id-ID"/>
        </w:rPr>
      </w:pPr>
      <w:bookmarkStart w:id="0" w:name="_Toc111066307"/>
      <w:bookmarkStart w:id="1" w:name="_Toc112143176"/>
      <w:r w:rsidRPr="00FF3383">
        <w:rPr>
          <w:rFonts w:eastAsia="Times New Roman" w:cs="Times New Roman"/>
          <w:sz w:val="24"/>
          <w:szCs w:val="24"/>
          <w:lang w:val="id-ID"/>
        </w:rPr>
        <w:t>A</w:t>
      </w:r>
      <w:bookmarkEnd w:id="0"/>
      <w:r w:rsidRPr="00FF3383">
        <w:rPr>
          <w:rFonts w:eastAsia="Times New Roman" w:cs="Times New Roman"/>
          <w:sz w:val="24"/>
          <w:szCs w:val="24"/>
          <w:lang w:val="id-ID"/>
        </w:rPr>
        <w:t>bstrak</w:t>
      </w:r>
      <w:bookmarkEnd w:id="1"/>
    </w:p>
    <w:p w14:paraId="7E902918" w14:textId="77777777" w:rsidR="0080593E" w:rsidRPr="00FF3383" w:rsidRDefault="0080593E" w:rsidP="00FF3383">
      <w:pPr>
        <w:spacing w:after="0" w:line="240" w:lineRule="auto"/>
        <w:jc w:val="both"/>
        <w:rPr>
          <w:rFonts w:cs="Times New Roman"/>
          <w:szCs w:val="24"/>
          <w:lang w:val="id-ID"/>
        </w:rPr>
      </w:pPr>
      <w:r w:rsidRPr="00FF3383">
        <w:rPr>
          <w:rFonts w:cs="Times New Roman"/>
          <w:szCs w:val="24"/>
          <w:lang w:val="id-ID"/>
        </w:rPr>
        <w:t xml:space="preserve">Penelitian ini bertujuan untuk menganalisis pengaruh jangka panjang dan jangka pendek variabel Makroekonomi dan variabel Indeks Saham Global terhadap fluktuasi FDI di Indonesia. Variabel Makroekonomi yang digunakan adalah Inflasi dan Neraca Perdagangan sementara variabel Indeks Saham yang digunakan adalah Indeks Hang Seng dan Indeks Dow Jones. Data yang digunakan adalah data tahunan dengan periode penelitian dari tahun 1970 - 2020. Analisis yang digunakan dalam penelitian ini adalah dengan metode </w:t>
      </w:r>
      <w:r w:rsidRPr="00FF3383">
        <w:rPr>
          <w:rFonts w:cs="Times New Roman"/>
          <w:i/>
          <w:szCs w:val="24"/>
          <w:lang w:val="id-ID"/>
        </w:rPr>
        <w:t>Vector Error Correction Model</w:t>
      </w:r>
      <w:r w:rsidRPr="00FF3383">
        <w:rPr>
          <w:rFonts w:cs="Times New Roman"/>
          <w:szCs w:val="24"/>
          <w:lang w:val="id-ID"/>
        </w:rPr>
        <w:t xml:space="preserve"> (VECM). Hasil menunjukkan bahwa dalam jangka pendek inflasi berpengaruh positif dan tidak signifikan sementara neraca perdagangan, Indeks Hang Seng dan Indeks Dow Jones berpengaruh negatif tidak signifikan terhadap FDI di Indonesia. Sedangkan dalam jangka panjang, inflasi dan neraca perdagangan berpengaruh positif dan signifikan sementara Indeks Hang Seng berpengaruh negatif dan signifikan serta Indeks Dow Jones berpengaruh positif dan tidak signifikan terhadap FDI di Indonesia.</w:t>
      </w:r>
    </w:p>
    <w:p w14:paraId="7B857800" w14:textId="77777777" w:rsidR="0080593E" w:rsidRPr="00FF3383" w:rsidRDefault="0080593E" w:rsidP="00FF3383">
      <w:pPr>
        <w:spacing w:after="0" w:line="240" w:lineRule="auto"/>
        <w:jc w:val="both"/>
        <w:rPr>
          <w:rFonts w:cs="Times New Roman"/>
          <w:szCs w:val="24"/>
          <w:lang w:val="id-ID"/>
        </w:rPr>
      </w:pPr>
    </w:p>
    <w:p w14:paraId="4A59829F" w14:textId="77777777" w:rsidR="0080593E" w:rsidRPr="00FF3383" w:rsidRDefault="0080593E" w:rsidP="00FF3383">
      <w:pPr>
        <w:spacing w:after="0" w:line="240" w:lineRule="auto"/>
        <w:rPr>
          <w:rFonts w:cs="Times New Roman"/>
          <w:i/>
          <w:szCs w:val="24"/>
          <w:lang w:val="id-ID"/>
        </w:rPr>
      </w:pPr>
      <w:r w:rsidRPr="00FF3383">
        <w:rPr>
          <w:rFonts w:cs="Times New Roman"/>
          <w:b/>
          <w:i/>
          <w:szCs w:val="24"/>
          <w:lang w:val="id-ID"/>
        </w:rPr>
        <w:t>Kata Kunci</w:t>
      </w:r>
      <w:r w:rsidRPr="00FF3383">
        <w:rPr>
          <w:rFonts w:cs="Times New Roman"/>
          <w:i/>
          <w:szCs w:val="24"/>
          <w:lang w:val="id-ID"/>
        </w:rPr>
        <w:t>: Foreign Direct Investment (FDI), Makroekonomi, Indeks Saham Global, Tingkat Inflasi, Neraca Perdagangan, Indeks Hang Seng, Indeks Dow Jones, VECM</w:t>
      </w:r>
    </w:p>
    <w:p w14:paraId="66F4F9E2" w14:textId="77777777" w:rsidR="0080593E" w:rsidRPr="00FF3383" w:rsidRDefault="0080593E" w:rsidP="00FF3383">
      <w:pPr>
        <w:spacing w:after="0" w:line="240" w:lineRule="auto"/>
        <w:rPr>
          <w:rFonts w:cs="Times New Roman"/>
          <w:i/>
          <w:szCs w:val="24"/>
          <w:lang w:val="id-ID"/>
        </w:rPr>
      </w:pPr>
    </w:p>
    <w:p w14:paraId="5F23310F" w14:textId="09A5CDE6" w:rsidR="0080593E" w:rsidRPr="00FF3383" w:rsidRDefault="00AD62ED" w:rsidP="00FF3383">
      <w:pPr>
        <w:spacing w:after="0" w:line="240" w:lineRule="auto"/>
        <w:rPr>
          <w:rFonts w:cs="Times New Roman"/>
          <w:i/>
          <w:szCs w:val="24"/>
          <w:lang w:val="id-ID"/>
        </w:rPr>
      </w:pPr>
      <w:r>
        <w:rPr>
          <w:noProof/>
        </w:rPr>
        <w:drawing>
          <wp:inline distT="0" distB="0" distL="0" distR="0" wp14:anchorId="38D8A335" wp14:editId="69F9FA00">
            <wp:extent cx="90147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401" cy="1195470"/>
                    </a:xfrm>
                    <a:prstGeom prst="rect">
                      <a:avLst/>
                    </a:prstGeom>
                    <a:noFill/>
                    <a:ln>
                      <a:noFill/>
                    </a:ln>
                  </pic:spPr>
                </pic:pic>
              </a:graphicData>
            </a:graphic>
          </wp:inline>
        </w:drawing>
      </w: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tblGrid>
      <w:tr w:rsidR="0080593E" w:rsidRPr="00FF3383" w14:paraId="6E908315" w14:textId="77777777" w:rsidTr="009E1C07">
        <w:trPr>
          <w:trHeight w:val="297"/>
        </w:trPr>
        <w:tc>
          <w:tcPr>
            <w:tcW w:w="3226" w:type="dxa"/>
          </w:tcPr>
          <w:p w14:paraId="641E041C" w14:textId="4EAF6178" w:rsidR="0080593E" w:rsidRPr="00FF3383" w:rsidRDefault="0080593E" w:rsidP="00FF3383">
            <w:pPr>
              <w:rPr>
                <w:rFonts w:cs="Times New Roman"/>
                <w:szCs w:val="24"/>
                <w:lang w:val="id-ID"/>
              </w:rPr>
            </w:pPr>
          </w:p>
        </w:tc>
      </w:tr>
      <w:tr w:rsidR="0080593E" w:rsidRPr="00FF3383" w14:paraId="0E4F3BD3" w14:textId="77777777" w:rsidTr="009E1C07">
        <w:tc>
          <w:tcPr>
            <w:tcW w:w="3226" w:type="dxa"/>
          </w:tcPr>
          <w:p w14:paraId="39019F76" w14:textId="393B2012" w:rsidR="0080593E" w:rsidRPr="00FF3383" w:rsidRDefault="0080593E" w:rsidP="00FF3383">
            <w:pPr>
              <w:rPr>
                <w:rFonts w:cs="Times New Roman"/>
                <w:szCs w:val="24"/>
                <w:lang w:val="id-ID"/>
              </w:rPr>
            </w:pPr>
          </w:p>
        </w:tc>
      </w:tr>
      <w:tr w:rsidR="0080593E" w:rsidRPr="00FF3383" w14:paraId="0274963F" w14:textId="77777777" w:rsidTr="009E1C07">
        <w:tc>
          <w:tcPr>
            <w:tcW w:w="3226" w:type="dxa"/>
          </w:tcPr>
          <w:p w14:paraId="37DBB326" w14:textId="77777777" w:rsidR="0080593E" w:rsidRPr="00FF3383" w:rsidRDefault="0080593E" w:rsidP="00FF3383">
            <w:pPr>
              <w:rPr>
                <w:rFonts w:cs="Times New Roman"/>
                <w:szCs w:val="24"/>
                <w:lang w:val="id-ID"/>
              </w:rPr>
            </w:pPr>
          </w:p>
        </w:tc>
      </w:tr>
      <w:tr w:rsidR="0080593E" w:rsidRPr="00FF3383" w14:paraId="22EE5C2E" w14:textId="77777777" w:rsidTr="009E1C07">
        <w:tc>
          <w:tcPr>
            <w:tcW w:w="3226" w:type="dxa"/>
          </w:tcPr>
          <w:p w14:paraId="4DB48F68" w14:textId="2C4A2676" w:rsidR="0080593E" w:rsidRPr="00FF3383" w:rsidRDefault="0080593E" w:rsidP="00FF3383">
            <w:pPr>
              <w:rPr>
                <w:rFonts w:cs="Times New Roman"/>
                <w:szCs w:val="24"/>
                <w:lang w:val="id-ID"/>
              </w:rPr>
            </w:pPr>
          </w:p>
        </w:tc>
      </w:tr>
    </w:tbl>
    <w:p w14:paraId="2D53218F" w14:textId="77777777" w:rsidR="0080593E" w:rsidRPr="00FF3383" w:rsidRDefault="0080593E" w:rsidP="00FF3383">
      <w:pPr>
        <w:spacing w:after="0" w:line="240" w:lineRule="auto"/>
        <w:rPr>
          <w:rFonts w:cs="Times New Roman"/>
          <w:i/>
          <w:szCs w:val="24"/>
          <w:lang w:val="id-ID"/>
        </w:rPr>
      </w:pPr>
    </w:p>
    <w:p w14:paraId="693B4469" w14:textId="77777777" w:rsidR="0080593E" w:rsidRPr="00FF3383" w:rsidRDefault="0080593E" w:rsidP="00FF3383">
      <w:pPr>
        <w:spacing w:after="0" w:line="240" w:lineRule="auto"/>
        <w:rPr>
          <w:rFonts w:cs="Times New Roman"/>
          <w:i/>
          <w:szCs w:val="24"/>
          <w:lang w:val="id-ID"/>
        </w:rPr>
      </w:pPr>
    </w:p>
    <w:p w14:paraId="21BC6BB4" w14:textId="77777777" w:rsidR="0080593E" w:rsidRPr="00FF3383" w:rsidRDefault="0080593E" w:rsidP="00FF3383">
      <w:pPr>
        <w:spacing w:after="0" w:line="240" w:lineRule="auto"/>
        <w:rPr>
          <w:rFonts w:cs="Times New Roman"/>
          <w:i/>
          <w:szCs w:val="24"/>
          <w:lang w:val="id-ID"/>
        </w:rPr>
      </w:pPr>
    </w:p>
    <w:p w14:paraId="547CA005" w14:textId="77777777" w:rsidR="0080593E" w:rsidRPr="00FF3383" w:rsidRDefault="0080593E" w:rsidP="00FF3383">
      <w:pPr>
        <w:spacing w:after="0" w:line="240" w:lineRule="auto"/>
        <w:rPr>
          <w:rFonts w:cs="Times New Roman"/>
          <w:i/>
          <w:szCs w:val="24"/>
          <w:lang w:val="id-ID"/>
        </w:rPr>
      </w:pPr>
    </w:p>
    <w:p w14:paraId="2DF352A4" w14:textId="77777777" w:rsidR="00A74A29" w:rsidRPr="00FF3383" w:rsidRDefault="00A74A29" w:rsidP="00FF3383">
      <w:pPr>
        <w:spacing w:after="0" w:line="240" w:lineRule="auto"/>
        <w:jc w:val="center"/>
        <w:rPr>
          <w:rFonts w:cs="Times New Roman"/>
          <w:b/>
          <w:i/>
          <w:szCs w:val="24"/>
          <w:lang w:val="id-ID"/>
        </w:rPr>
      </w:pPr>
      <w:r w:rsidRPr="00FF3383">
        <w:rPr>
          <w:rFonts w:cs="Times New Roman"/>
          <w:b/>
          <w:i/>
          <w:szCs w:val="24"/>
          <w:lang w:val="id-ID"/>
        </w:rPr>
        <w:br w:type="page"/>
      </w:r>
    </w:p>
    <w:p w14:paraId="3DC67A12" w14:textId="77777777" w:rsidR="00C35E2F" w:rsidRPr="00FF3383" w:rsidRDefault="0080593E" w:rsidP="00FF3383">
      <w:pPr>
        <w:spacing w:after="0" w:line="240" w:lineRule="auto"/>
        <w:jc w:val="center"/>
        <w:rPr>
          <w:rFonts w:cs="Times New Roman"/>
          <w:b/>
          <w:i/>
          <w:szCs w:val="24"/>
        </w:rPr>
      </w:pPr>
      <w:r w:rsidRPr="00FF3383">
        <w:rPr>
          <w:rFonts w:cs="Times New Roman"/>
          <w:b/>
          <w:i/>
          <w:szCs w:val="24"/>
          <w:lang w:val="id-ID"/>
        </w:rPr>
        <w:lastRenderedPageBreak/>
        <w:t xml:space="preserve">THE IMPACT OF MACROECONOMIC &amp; GLOBAL STOCK INDEX </w:t>
      </w:r>
    </w:p>
    <w:p w14:paraId="4CDB87A2" w14:textId="77777777" w:rsidR="00C35E2F" w:rsidRPr="00FF3383" w:rsidRDefault="00C35E2F" w:rsidP="00FF3383">
      <w:pPr>
        <w:spacing w:after="0" w:line="240" w:lineRule="auto"/>
        <w:jc w:val="center"/>
        <w:rPr>
          <w:rFonts w:cs="Times New Roman"/>
          <w:b/>
          <w:i/>
          <w:szCs w:val="24"/>
        </w:rPr>
      </w:pPr>
      <w:r w:rsidRPr="00FF3383">
        <w:rPr>
          <w:rFonts w:cs="Times New Roman"/>
          <w:b/>
          <w:i/>
          <w:szCs w:val="24"/>
        </w:rPr>
        <w:t xml:space="preserve">ON </w:t>
      </w:r>
      <w:r w:rsidR="0080593E" w:rsidRPr="00FF3383">
        <w:rPr>
          <w:rFonts w:cs="Times New Roman"/>
          <w:b/>
          <w:i/>
          <w:szCs w:val="24"/>
          <w:lang w:val="id-ID"/>
        </w:rPr>
        <w:t xml:space="preserve">FOREIGN DIRECT INVESTMENT (FDI) FLUCTUATIONS </w:t>
      </w:r>
    </w:p>
    <w:p w14:paraId="4C13D288" w14:textId="1CEF41B9" w:rsidR="0080593E" w:rsidRPr="00FF3383" w:rsidRDefault="0080593E" w:rsidP="00FF3383">
      <w:pPr>
        <w:spacing w:after="0" w:line="240" w:lineRule="auto"/>
        <w:jc w:val="center"/>
        <w:rPr>
          <w:rFonts w:cs="Times New Roman"/>
          <w:b/>
          <w:i/>
          <w:szCs w:val="24"/>
          <w:lang w:val="id-ID"/>
        </w:rPr>
      </w:pPr>
      <w:r w:rsidRPr="00FF3383">
        <w:rPr>
          <w:rFonts w:cs="Times New Roman"/>
          <w:b/>
          <w:i/>
          <w:szCs w:val="24"/>
          <w:lang w:val="id-ID"/>
        </w:rPr>
        <w:t>IN INDONESIA</w:t>
      </w:r>
    </w:p>
    <w:p w14:paraId="2F8088C5" w14:textId="77777777" w:rsidR="0080593E" w:rsidRPr="00FF3383" w:rsidRDefault="0080593E" w:rsidP="00FF3383">
      <w:pPr>
        <w:spacing w:after="0" w:line="240" w:lineRule="auto"/>
        <w:jc w:val="center"/>
        <w:rPr>
          <w:rFonts w:cs="Times New Roman"/>
          <w:b/>
          <w:szCs w:val="24"/>
          <w:lang w:val="id-ID"/>
        </w:rPr>
      </w:pPr>
    </w:p>
    <w:p w14:paraId="710BAD7A" w14:textId="77777777" w:rsidR="0080593E" w:rsidRPr="00FF3383" w:rsidRDefault="0080593E" w:rsidP="00FF3383">
      <w:pPr>
        <w:spacing w:after="0" w:line="240" w:lineRule="auto"/>
        <w:jc w:val="center"/>
        <w:rPr>
          <w:rFonts w:cs="Times New Roman"/>
          <w:b/>
          <w:szCs w:val="24"/>
          <w:lang w:val="id-ID"/>
        </w:rPr>
      </w:pPr>
      <w:r w:rsidRPr="00FF3383">
        <w:rPr>
          <w:rFonts w:cs="Times New Roman"/>
          <w:b/>
          <w:szCs w:val="24"/>
          <w:lang w:val="id-ID"/>
        </w:rPr>
        <w:t>Tanti Febi Setiawan</w:t>
      </w:r>
    </w:p>
    <w:p w14:paraId="0DB8C75D" w14:textId="77777777" w:rsidR="0080593E" w:rsidRPr="00FF3383" w:rsidRDefault="0080593E" w:rsidP="00FF3383">
      <w:pPr>
        <w:spacing w:after="0" w:line="240" w:lineRule="auto"/>
        <w:jc w:val="center"/>
        <w:rPr>
          <w:rFonts w:cs="Times New Roman"/>
          <w:b/>
          <w:szCs w:val="24"/>
          <w:lang w:val="id-ID"/>
        </w:rPr>
      </w:pPr>
    </w:p>
    <w:p w14:paraId="04C4FA7A" w14:textId="77777777" w:rsidR="0080593E" w:rsidRPr="00FF3383" w:rsidRDefault="0080593E" w:rsidP="00FF3383">
      <w:pPr>
        <w:pStyle w:val="Heading1"/>
        <w:spacing w:before="0" w:line="240" w:lineRule="auto"/>
        <w:rPr>
          <w:rFonts w:eastAsia="Times New Roman" w:cs="Times New Roman"/>
          <w:i/>
          <w:sz w:val="24"/>
          <w:szCs w:val="24"/>
          <w:lang w:val="id-ID"/>
        </w:rPr>
      </w:pPr>
      <w:bookmarkStart w:id="2" w:name="_Toc111066308"/>
      <w:bookmarkStart w:id="3" w:name="_Toc112143177"/>
      <w:r w:rsidRPr="00FF3383">
        <w:rPr>
          <w:rFonts w:eastAsia="Times New Roman" w:cs="Times New Roman"/>
          <w:i/>
          <w:sz w:val="24"/>
          <w:szCs w:val="24"/>
          <w:lang w:val="id-ID"/>
        </w:rPr>
        <w:t>A</w:t>
      </w:r>
      <w:bookmarkEnd w:id="2"/>
      <w:r w:rsidRPr="00FF3383">
        <w:rPr>
          <w:rFonts w:eastAsia="Times New Roman" w:cs="Times New Roman"/>
          <w:i/>
          <w:sz w:val="24"/>
          <w:szCs w:val="24"/>
          <w:lang w:val="id-ID"/>
        </w:rPr>
        <w:t>bstract</w:t>
      </w:r>
      <w:bookmarkEnd w:id="3"/>
    </w:p>
    <w:p w14:paraId="13C9DCEF" w14:textId="77777777" w:rsidR="0080593E" w:rsidRPr="00FF3383" w:rsidRDefault="0080593E" w:rsidP="00FF3383">
      <w:pPr>
        <w:spacing w:after="0" w:line="240" w:lineRule="auto"/>
        <w:jc w:val="both"/>
        <w:rPr>
          <w:rStyle w:val="Emphasis"/>
          <w:rFonts w:cs="Times New Roman"/>
          <w:color w:val="0E101A"/>
          <w:szCs w:val="24"/>
          <w:lang w:val="id-ID"/>
        </w:rPr>
      </w:pPr>
      <w:r w:rsidRPr="00FF3383">
        <w:rPr>
          <w:rStyle w:val="Emphasis"/>
          <w:rFonts w:cs="Times New Roman"/>
          <w:color w:val="0E101A"/>
          <w:szCs w:val="24"/>
          <w:lang w:val="id-ID"/>
        </w:rPr>
        <w:t>This study aims to analyze the impact of macroeconomic and global stock index variables on FDI fluctuations in Indonesia. The macroeconomic variable used includes the inflation rate and trade balance in Indonesia. The global stock index used Hang Seng Index and Dow Jones Industrial Average. This study used yearly data from the years 1970 – 2020. The analysis used in this study is the Vector Error Correction Model (VECM). The result shows that the inflation rate has a positive and insignificant effect on FDI in the short term. On the other way, balance trade, Hang Seng Index, and Dow Jones Industrial Average have a negative and not significant impact on FDI in Indonesia. Meanwhile, in the long term, the inflation rate and balance trade positively and significantly affect FDI. Still, Hang Seng Index has a negative and significant impact, and the Dow Jones Industrial Average has a positive and not significant effect on FDI in Indonesia. </w:t>
      </w:r>
    </w:p>
    <w:p w14:paraId="422D82A8" w14:textId="77777777" w:rsidR="0080593E" w:rsidRPr="00FF3383" w:rsidRDefault="0080593E" w:rsidP="00FF3383">
      <w:pPr>
        <w:spacing w:after="0" w:line="240" w:lineRule="auto"/>
        <w:jc w:val="both"/>
        <w:rPr>
          <w:rStyle w:val="Emphasis"/>
          <w:rFonts w:cs="Times New Roman"/>
          <w:color w:val="0E101A"/>
          <w:szCs w:val="24"/>
          <w:lang w:val="id-ID"/>
        </w:rPr>
      </w:pPr>
    </w:p>
    <w:p w14:paraId="66FA4BF5" w14:textId="21B927F5" w:rsidR="0080593E" w:rsidRPr="00FF3383" w:rsidRDefault="0080593E" w:rsidP="00FF3383">
      <w:pPr>
        <w:spacing w:after="0" w:line="240" w:lineRule="auto"/>
        <w:jc w:val="both"/>
        <w:rPr>
          <w:rFonts w:cs="Times New Roman"/>
          <w:i/>
          <w:szCs w:val="24"/>
          <w:lang w:val="id-ID"/>
        </w:rPr>
      </w:pPr>
      <w:r w:rsidRPr="00FF3383">
        <w:rPr>
          <w:rFonts w:cs="Times New Roman"/>
          <w:b/>
          <w:i/>
          <w:szCs w:val="24"/>
          <w:lang w:val="id-ID"/>
        </w:rPr>
        <w:t>Keyword</w:t>
      </w:r>
      <w:r w:rsidR="00C35E2F" w:rsidRPr="00FF3383">
        <w:rPr>
          <w:rFonts w:cs="Times New Roman"/>
          <w:b/>
          <w:i/>
          <w:szCs w:val="24"/>
        </w:rPr>
        <w:t>s</w:t>
      </w:r>
      <w:r w:rsidRPr="00FF3383">
        <w:rPr>
          <w:rFonts w:cs="Times New Roman"/>
          <w:i/>
          <w:szCs w:val="24"/>
          <w:lang w:val="id-ID"/>
        </w:rPr>
        <w:t>: Foreign Direct Investment (FDI), Macroeconomic, Global Stock Index, Inflation Rate, Balance Trade, Hang Seng Index, Dow Jones Industrial Average, VECM</w:t>
      </w:r>
    </w:p>
    <w:p w14:paraId="2B40E98B" w14:textId="77777777" w:rsidR="0080593E" w:rsidRPr="00FF3383" w:rsidRDefault="0080593E" w:rsidP="00FF3383">
      <w:pPr>
        <w:spacing w:after="0" w:line="240" w:lineRule="auto"/>
        <w:rPr>
          <w:rFonts w:eastAsia="Times New Roman" w:cs="Times New Roman"/>
          <w:szCs w:val="24"/>
          <w:lang w:val="id-ID"/>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tblGrid>
      <w:tr w:rsidR="0080593E" w:rsidRPr="00FF3383" w14:paraId="2FAA15F7" w14:textId="77777777" w:rsidTr="009E1C07">
        <w:tc>
          <w:tcPr>
            <w:tcW w:w="3226" w:type="dxa"/>
          </w:tcPr>
          <w:p w14:paraId="744C56C7" w14:textId="33B24121" w:rsidR="0080593E" w:rsidRPr="00FF3383" w:rsidRDefault="0080593E" w:rsidP="00FF3383">
            <w:pPr>
              <w:rPr>
                <w:rFonts w:cs="Times New Roman"/>
                <w:szCs w:val="24"/>
                <w:lang w:val="id-ID"/>
              </w:rPr>
            </w:pPr>
          </w:p>
        </w:tc>
      </w:tr>
      <w:tr w:rsidR="0080593E" w:rsidRPr="00FF3383" w14:paraId="0C5E759C" w14:textId="77777777" w:rsidTr="009E1C07">
        <w:tc>
          <w:tcPr>
            <w:tcW w:w="3226" w:type="dxa"/>
          </w:tcPr>
          <w:p w14:paraId="2B19805F" w14:textId="587954AC" w:rsidR="0080593E" w:rsidRPr="00FF3383" w:rsidRDefault="0080593E" w:rsidP="00FF3383">
            <w:pPr>
              <w:rPr>
                <w:rFonts w:cs="Times New Roman"/>
                <w:szCs w:val="24"/>
                <w:lang w:val="id-ID"/>
              </w:rPr>
            </w:pPr>
          </w:p>
        </w:tc>
      </w:tr>
      <w:tr w:rsidR="0080593E" w:rsidRPr="00FF3383" w14:paraId="7C6592BF" w14:textId="77777777" w:rsidTr="009E1C07">
        <w:tc>
          <w:tcPr>
            <w:tcW w:w="3226" w:type="dxa"/>
          </w:tcPr>
          <w:p w14:paraId="120C4952" w14:textId="76A5B8CC" w:rsidR="0080593E" w:rsidRPr="00FF3383" w:rsidRDefault="0080593E" w:rsidP="00FF3383">
            <w:pPr>
              <w:rPr>
                <w:rFonts w:cs="Times New Roman"/>
                <w:szCs w:val="24"/>
                <w:lang w:val="id-ID"/>
              </w:rPr>
            </w:pPr>
          </w:p>
        </w:tc>
      </w:tr>
      <w:tr w:rsidR="0080593E" w:rsidRPr="00FF3383" w14:paraId="3BF3085C" w14:textId="77777777" w:rsidTr="009E1C07">
        <w:tc>
          <w:tcPr>
            <w:tcW w:w="3226" w:type="dxa"/>
          </w:tcPr>
          <w:p w14:paraId="5FBB9FEC" w14:textId="77777777" w:rsidR="0080593E" w:rsidRPr="00FF3383" w:rsidRDefault="0080593E" w:rsidP="00FF3383">
            <w:pPr>
              <w:rPr>
                <w:rFonts w:cs="Times New Roman"/>
                <w:i/>
                <w:noProof/>
                <w:szCs w:val="24"/>
                <w:lang w:val="id-ID"/>
              </w:rPr>
            </w:pPr>
          </w:p>
        </w:tc>
      </w:tr>
      <w:tr w:rsidR="0080593E" w:rsidRPr="00FF3383" w14:paraId="5FE2ED2C" w14:textId="77777777" w:rsidTr="009E1C07">
        <w:tc>
          <w:tcPr>
            <w:tcW w:w="3226" w:type="dxa"/>
          </w:tcPr>
          <w:p w14:paraId="75949346" w14:textId="41B2217A" w:rsidR="0080593E" w:rsidRPr="00FF3383" w:rsidRDefault="0080593E" w:rsidP="00FF3383">
            <w:pPr>
              <w:rPr>
                <w:rFonts w:cs="Times New Roman"/>
                <w:szCs w:val="24"/>
                <w:lang w:val="id-ID"/>
              </w:rPr>
            </w:pPr>
          </w:p>
        </w:tc>
      </w:tr>
    </w:tbl>
    <w:p w14:paraId="1FB19DDC" w14:textId="77777777" w:rsidR="00135374" w:rsidRPr="00FF3383" w:rsidRDefault="00135374" w:rsidP="00FF3383">
      <w:pPr>
        <w:spacing w:after="0" w:line="240" w:lineRule="auto"/>
        <w:rPr>
          <w:rFonts w:cs="Times New Roman"/>
          <w:szCs w:val="24"/>
          <w:lang w:val="id-ID"/>
        </w:rPr>
      </w:pPr>
    </w:p>
    <w:sectPr w:rsidR="00135374" w:rsidRPr="00FF3383" w:rsidSect="00FF3383">
      <w:footerReference w:type="default" r:id="rId7"/>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4970" w14:textId="77777777" w:rsidR="007F3DBD" w:rsidRDefault="007F3DBD" w:rsidP="0080593E">
      <w:pPr>
        <w:spacing w:after="0" w:line="240" w:lineRule="auto"/>
      </w:pPr>
      <w:r>
        <w:separator/>
      </w:r>
    </w:p>
  </w:endnote>
  <w:endnote w:type="continuationSeparator" w:id="0">
    <w:p w14:paraId="77B5D10F" w14:textId="77777777" w:rsidR="007F3DBD" w:rsidRDefault="007F3DBD" w:rsidP="0080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6F00" w14:textId="77777777" w:rsidR="000028A6" w:rsidRDefault="007F3DBD">
    <w:pPr>
      <w:pStyle w:val="Footer"/>
      <w:jc w:val="center"/>
    </w:pPr>
  </w:p>
  <w:p w14:paraId="3ACA1EC1" w14:textId="77777777" w:rsidR="000028A6" w:rsidRDefault="007F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B746" w14:textId="77777777" w:rsidR="007F3DBD" w:rsidRDefault="007F3DBD" w:rsidP="0080593E">
      <w:pPr>
        <w:spacing w:after="0" w:line="240" w:lineRule="auto"/>
      </w:pPr>
      <w:r>
        <w:separator/>
      </w:r>
    </w:p>
  </w:footnote>
  <w:footnote w:type="continuationSeparator" w:id="0">
    <w:p w14:paraId="1B85AAAB" w14:textId="77777777" w:rsidR="007F3DBD" w:rsidRDefault="007F3DBD" w:rsidP="00805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3E"/>
    <w:rsid w:val="00135374"/>
    <w:rsid w:val="00190770"/>
    <w:rsid w:val="00367D0F"/>
    <w:rsid w:val="005E033D"/>
    <w:rsid w:val="007B4EE0"/>
    <w:rsid w:val="007F3DBD"/>
    <w:rsid w:val="0080593E"/>
    <w:rsid w:val="008D6900"/>
    <w:rsid w:val="00A74A29"/>
    <w:rsid w:val="00A86797"/>
    <w:rsid w:val="00AA1991"/>
    <w:rsid w:val="00AC4ED7"/>
    <w:rsid w:val="00AD62ED"/>
    <w:rsid w:val="00C35E2F"/>
    <w:rsid w:val="00DE651A"/>
    <w:rsid w:val="00EC09B9"/>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21CD"/>
  <w15:docId w15:val="{DBDE0277-C1BB-4B20-9508-0EFD419C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3E"/>
    <w:rPr>
      <w:rFonts w:ascii="Times New Roman" w:hAnsi="Times New Roman"/>
      <w:sz w:val="24"/>
    </w:rPr>
  </w:style>
  <w:style w:type="paragraph" w:styleId="Heading1">
    <w:name w:val="heading 1"/>
    <w:basedOn w:val="Normal"/>
    <w:next w:val="Normal"/>
    <w:link w:val="Heading1Char"/>
    <w:uiPriority w:val="9"/>
    <w:qFormat/>
    <w:rsid w:val="0080593E"/>
    <w:pPr>
      <w:keepNext/>
      <w:keepLines/>
      <w:spacing w:before="480" w:after="0"/>
      <w:jc w:val="center"/>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93E"/>
    <w:rPr>
      <w:rFonts w:ascii="Tahoma" w:hAnsi="Tahoma" w:cs="Tahoma"/>
      <w:sz w:val="16"/>
      <w:szCs w:val="16"/>
    </w:rPr>
  </w:style>
  <w:style w:type="character" w:customStyle="1" w:styleId="Heading1Char">
    <w:name w:val="Heading 1 Char"/>
    <w:basedOn w:val="DefaultParagraphFont"/>
    <w:link w:val="Heading1"/>
    <w:uiPriority w:val="9"/>
    <w:rsid w:val="0080593E"/>
    <w:rPr>
      <w:rFonts w:ascii="Times New Roman" w:eastAsiaTheme="majorEastAsia" w:hAnsi="Times New Roman" w:cstheme="majorBidi"/>
      <w:b/>
      <w:bCs/>
      <w:color w:val="000000" w:themeColor="text1"/>
      <w:sz w:val="28"/>
      <w:szCs w:val="28"/>
    </w:rPr>
  </w:style>
  <w:style w:type="table" w:styleId="TableGrid">
    <w:name w:val="Table Grid"/>
    <w:basedOn w:val="TableNormal"/>
    <w:uiPriority w:val="59"/>
    <w:rsid w:val="008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3E"/>
    <w:rPr>
      <w:rFonts w:ascii="Times New Roman" w:hAnsi="Times New Roman"/>
      <w:sz w:val="24"/>
    </w:rPr>
  </w:style>
  <w:style w:type="character" w:styleId="Emphasis">
    <w:name w:val="Emphasis"/>
    <w:basedOn w:val="DefaultParagraphFont"/>
    <w:uiPriority w:val="20"/>
    <w:qFormat/>
    <w:rsid w:val="0080593E"/>
    <w:rPr>
      <w:i/>
      <w:iCs/>
    </w:rPr>
  </w:style>
  <w:style w:type="paragraph" w:styleId="Header">
    <w:name w:val="header"/>
    <w:basedOn w:val="Normal"/>
    <w:link w:val="HeaderChar"/>
    <w:uiPriority w:val="99"/>
    <w:unhideWhenUsed/>
    <w:rsid w:val="0080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9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Tanti Febi Setiawan</dc:creator>
  <cp:lastModifiedBy>Andriani Setya Astuti</cp:lastModifiedBy>
  <cp:revision>3</cp:revision>
  <cp:lastPrinted>2022-08-25T05:05:00Z</cp:lastPrinted>
  <dcterms:created xsi:type="dcterms:W3CDTF">2022-09-23T05:48:00Z</dcterms:created>
  <dcterms:modified xsi:type="dcterms:W3CDTF">2022-09-23T06:53:00Z</dcterms:modified>
</cp:coreProperties>
</file>