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4E" w:rsidRDefault="0023674E" w:rsidP="005F7E1B">
      <w:pPr>
        <w:tabs>
          <w:tab w:val="left" w:pos="1916"/>
        </w:tabs>
        <w:spacing w:after="0" w:line="240" w:lineRule="auto"/>
        <w:jc w:val="center"/>
        <w:rPr>
          <w:rFonts w:ascii="Times New Roman" w:hAnsi="Times New Roman" w:cs="Times New Roman"/>
          <w:sz w:val="24"/>
          <w:szCs w:val="24"/>
        </w:rPr>
      </w:pPr>
      <w:proofErr w:type="spellStart"/>
      <w:r w:rsidRPr="00AE2993">
        <w:rPr>
          <w:rFonts w:ascii="Times New Roman" w:hAnsi="Times New Roman" w:cs="Times New Roman"/>
          <w:sz w:val="24"/>
          <w:szCs w:val="24"/>
        </w:rPr>
        <w:t>Evaluasi</w:t>
      </w:r>
      <w:proofErr w:type="spellEnd"/>
      <w:r w:rsidRPr="00AE2993">
        <w:rPr>
          <w:rFonts w:ascii="Times New Roman" w:hAnsi="Times New Roman" w:cs="Times New Roman"/>
          <w:sz w:val="24"/>
          <w:szCs w:val="24"/>
        </w:rPr>
        <w:t xml:space="preserve"> </w:t>
      </w:r>
      <w:proofErr w:type="spellStart"/>
      <w:r w:rsidRPr="00AE2993">
        <w:rPr>
          <w:rFonts w:ascii="Times New Roman" w:hAnsi="Times New Roman" w:cs="Times New Roman"/>
          <w:sz w:val="24"/>
          <w:szCs w:val="24"/>
        </w:rPr>
        <w:t>Perhitungan</w:t>
      </w:r>
      <w:proofErr w:type="spellEnd"/>
      <w:r w:rsidRPr="00AE2993">
        <w:rPr>
          <w:rFonts w:ascii="Times New Roman" w:hAnsi="Times New Roman" w:cs="Times New Roman"/>
          <w:sz w:val="24"/>
          <w:szCs w:val="24"/>
        </w:rPr>
        <w:t xml:space="preserve"> </w:t>
      </w:r>
      <w:proofErr w:type="spellStart"/>
      <w:r w:rsidRPr="00AE2993">
        <w:rPr>
          <w:rFonts w:ascii="Times New Roman" w:hAnsi="Times New Roman" w:cs="Times New Roman"/>
          <w:sz w:val="24"/>
          <w:szCs w:val="24"/>
        </w:rPr>
        <w:t>Investasi</w:t>
      </w:r>
      <w:proofErr w:type="spellEnd"/>
      <w:r w:rsidRPr="00AE2993">
        <w:rPr>
          <w:rFonts w:ascii="Times New Roman" w:hAnsi="Times New Roman" w:cs="Times New Roman"/>
          <w:sz w:val="24"/>
          <w:szCs w:val="24"/>
        </w:rPr>
        <w:t xml:space="preserve"> Outlet </w:t>
      </w:r>
      <w:proofErr w:type="spellStart"/>
      <w:r w:rsidRPr="00AE2993">
        <w:rPr>
          <w:rFonts w:ascii="Times New Roman" w:hAnsi="Times New Roman" w:cs="Times New Roman"/>
          <w:sz w:val="24"/>
          <w:szCs w:val="24"/>
        </w:rPr>
        <w:t>Baru</w:t>
      </w:r>
      <w:proofErr w:type="spellEnd"/>
      <w:r w:rsidRPr="00AE2993">
        <w:rPr>
          <w:rFonts w:ascii="Times New Roman" w:hAnsi="Times New Roman" w:cs="Times New Roman"/>
          <w:sz w:val="24"/>
          <w:szCs w:val="24"/>
        </w:rPr>
        <w:t xml:space="preserve"> </w:t>
      </w:r>
      <w:proofErr w:type="spellStart"/>
      <w:r w:rsidRPr="00AE2993">
        <w:rPr>
          <w:rFonts w:ascii="Times New Roman" w:hAnsi="Times New Roman" w:cs="Times New Roman"/>
          <w:sz w:val="24"/>
          <w:szCs w:val="24"/>
        </w:rPr>
        <w:t>Pada</w:t>
      </w:r>
      <w:proofErr w:type="spellEnd"/>
      <w:r w:rsidRPr="00AE2993">
        <w:rPr>
          <w:rFonts w:ascii="Times New Roman" w:hAnsi="Times New Roman" w:cs="Times New Roman"/>
          <w:sz w:val="24"/>
          <w:szCs w:val="24"/>
        </w:rPr>
        <w:t xml:space="preserve"> </w:t>
      </w:r>
      <w:proofErr w:type="spellStart"/>
      <w:r w:rsidRPr="00AE2993">
        <w:rPr>
          <w:rFonts w:ascii="Times New Roman" w:hAnsi="Times New Roman" w:cs="Times New Roman"/>
          <w:sz w:val="24"/>
          <w:szCs w:val="24"/>
        </w:rPr>
        <w:t>Capcuzz</w:t>
      </w:r>
      <w:proofErr w:type="spellEnd"/>
      <w:r w:rsidRPr="00AE2993">
        <w:rPr>
          <w:rFonts w:ascii="Times New Roman" w:hAnsi="Times New Roman" w:cs="Times New Roman"/>
          <w:sz w:val="24"/>
          <w:szCs w:val="24"/>
        </w:rPr>
        <w:t xml:space="preserve"> Yogyakarta</w:t>
      </w:r>
    </w:p>
    <w:p w:rsidR="0023674E" w:rsidRDefault="0023674E" w:rsidP="005F7E1B">
      <w:pPr>
        <w:tabs>
          <w:tab w:val="left" w:pos="1916"/>
        </w:tabs>
        <w:spacing w:after="0" w:line="240" w:lineRule="auto"/>
        <w:jc w:val="center"/>
        <w:rPr>
          <w:rFonts w:ascii="Times New Roman" w:hAnsi="Times New Roman" w:cs="Times New Roman"/>
          <w:sz w:val="24"/>
          <w:szCs w:val="24"/>
        </w:rPr>
      </w:pPr>
    </w:p>
    <w:p w:rsidR="0023674E" w:rsidRDefault="0023674E" w:rsidP="005F7E1B">
      <w:pPr>
        <w:tabs>
          <w:tab w:val="left" w:pos="1916"/>
        </w:tab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w:t>
      </w:r>
    </w:p>
    <w:p w:rsidR="0023674E" w:rsidRDefault="0023674E" w:rsidP="005F7E1B">
      <w:pPr>
        <w:tabs>
          <w:tab w:val="left" w:pos="1916"/>
        </w:tab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Duwi</w:t>
      </w:r>
      <w:proofErr w:type="spellEnd"/>
      <w:r>
        <w:rPr>
          <w:rFonts w:ascii="Times New Roman" w:hAnsi="Times New Roman" w:cs="Times New Roman"/>
          <w:sz w:val="24"/>
          <w:szCs w:val="24"/>
        </w:rPr>
        <w:t xml:space="preserve"> Ade </w:t>
      </w:r>
      <w:proofErr w:type="spellStart"/>
      <w:r>
        <w:rPr>
          <w:rFonts w:ascii="Times New Roman" w:hAnsi="Times New Roman" w:cs="Times New Roman"/>
          <w:sz w:val="24"/>
          <w:szCs w:val="24"/>
        </w:rPr>
        <w:t>Setiawan</w:t>
      </w:r>
      <w:proofErr w:type="spellEnd"/>
    </w:p>
    <w:p w:rsidR="0023674E" w:rsidRDefault="0023674E" w:rsidP="005F7E1B">
      <w:pPr>
        <w:tabs>
          <w:tab w:val="left" w:pos="191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5170121005</w:t>
      </w:r>
    </w:p>
    <w:p w:rsidR="0023674E" w:rsidRDefault="0023674E" w:rsidP="005F7E1B">
      <w:pPr>
        <w:tabs>
          <w:tab w:val="left" w:pos="1916"/>
        </w:tabs>
        <w:spacing w:after="0" w:line="240" w:lineRule="auto"/>
        <w:rPr>
          <w:rFonts w:ascii="Times New Roman" w:hAnsi="Times New Roman" w:cs="Times New Roman"/>
          <w:sz w:val="24"/>
          <w:szCs w:val="24"/>
        </w:rPr>
      </w:pPr>
    </w:p>
    <w:p w:rsidR="0023674E" w:rsidRDefault="0023674E" w:rsidP="005F7E1B">
      <w:pPr>
        <w:tabs>
          <w:tab w:val="left" w:pos="1916"/>
        </w:tabs>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alternatif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memaksimalkan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mempertimbangkan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permodalan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Capcuzz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14 outlet </w:t>
      </w:r>
      <w:proofErr w:type="spellStart"/>
      <w:r>
        <w:rPr>
          <w:rFonts w:ascii="Times New Roman" w:hAnsi="Times New Roman" w:cs="Times New Roman"/>
          <w:sz w:val="24"/>
          <w:szCs w:val="24"/>
        </w:rPr>
        <w:t>Capcuzz</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tersebar</w:t>
      </w:r>
      <w:proofErr w:type="spellEnd"/>
      <w:r>
        <w:rPr>
          <w:rFonts w:ascii="Times New Roman" w:hAnsi="Times New Roman" w:cs="Times New Roman"/>
          <w:sz w:val="24"/>
          <w:szCs w:val="24"/>
        </w:rPr>
        <w:t xml:space="preserve"> di Yogyakarta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Solo.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difokuskan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NPV (</w:t>
      </w:r>
      <w:r w:rsidRPr="009C500E">
        <w:rPr>
          <w:rFonts w:ascii="Times New Roman" w:hAnsi="Times New Roman" w:cs="Times New Roman"/>
          <w:i/>
          <w:sz w:val="24"/>
          <w:szCs w:val="24"/>
        </w:rPr>
        <w:t>Net Present Value</w:t>
      </w:r>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IRR (</w:t>
      </w:r>
      <w:r w:rsidRPr="009C500E">
        <w:rPr>
          <w:rFonts w:ascii="Times New Roman" w:hAnsi="Times New Roman" w:cs="Times New Roman"/>
          <w:i/>
          <w:sz w:val="24"/>
          <w:szCs w:val="24"/>
        </w:rPr>
        <w:t>Internal Rate of Return</w:t>
      </w:r>
      <w:r>
        <w:rPr>
          <w:rFonts w:ascii="Times New Roman" w:hAnsi="Times New Roman" w:cs="Times New Roman"/>
          <w:sz w:val="24"/>
          <w:szCs w:val="24"/>
        </w:rPr>
        <w:t>), PI (</w:t>
      </w:r>
      <w:r>
        <w:rPr>
          <w:rFonts w:ascii="Times New Roman" w:hAnsi="Times New Roman" w:cs="Times New Roman"/>
          <w:i/>
          <w:sz w:val="24"/>
          <w:szCs w:val="24"/>
        </w:rPr>
        <w:t xml:space="preserve">Profitability </w:t>
      </w:r>
      <w:proofErr w:type="spellStart"/>
      <w:r>
        <w:rPr>
          <w:rFonts w:ascii="Times New Roman" w:hAnsi="Times New Roman" w:cs="Times New Roman"/>
          <w:i/>
          <w:sz w:val="24"/>
          <w:szCs w:val="24"/>
        </w:rPr>
        <w:t>Indeks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9C500E">
        <w:rPr>
          <w:rFonts w:ascii="Times New Roman" w:hAnsi="Times New Roman" w:cs="Times New Roman"/>
          <w:i/>
          <w:sz w:val="24"/>
          <w:szCs w:val="24"/>
        </w:rPr>
        <w:t xml:space="preserve">Payback </w:t>
      </w:r>
      <w:proofErr w:type="gramStart"/>
      <w:r w:rsidRPr="009C500E">
        <w:rPr>
          <w:rFonts w:ascii="Times New Roman" w:hAnsi="Times New Roman" w:cs="Times New Roman"/>
          <w:i/>
          <w:sz w:val="24"/>
          <w:szCs w:val="24"/>
        </w:rPr>
        <w:t>Period</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BEP (</w:t>
      </w:r>
      <w:r w:rsidRPr="009C500E">
        <w:rPr>
          <w:rFonts w:ascii="Times New Roman" w:hAnsi="Times New Roman" w:cs="Times New Roman"/>
          <w:i/>
          <w:sz w:val="24"/>
          <w:szCs w:val="24"/>
        </w:rPr>
        <w:t>Break Even Point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38.000.000,-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NPV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51.499.855,- , IRR 49,58%, PI 2,57 ,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9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9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pengembalian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volume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w:t>
      </w:r>
      <w:r w:rsidR="001E1FC5">
        <w:rPr>
          <w:rFonts w:ascii="Times New Roman" w:hAnsi="Times New Roman" w:cs="Times New Roman"/>
          <w:sz w:val="24"/>
          <w:szCs w:val="24"/>
        </w:rPr>
        <w:t>k</w:t>
      </w:r>
      <w:proofErr w:type="spellEnd"/>
      <w:r w:rsidR="001E1FC5">
        <w:rPr>
          <w:rFonts w:ascii="Times New Roman" w:hAnsi="Times New Roman" w:cs="Times New Roman"/>
          <w:sz w:val="24"/>
          <w:szCs w:val="24"/>
        </w:rPr>
        <w:t xml:space="preserve"> </w:t>
      </w:r>
      <w:proofErr w:type="spellStart"/>
      <w:r w:rsidR="001E1FC5">
        <w:rPr>
          <w:rFonts w:ascii="Times New Roman" w:hAnsi="Times New Roman" w:cs="Times New Roman"/>
          <w:sz w:val="24"/>
          <w:szCs w:val="24"/>
        </w:rPr>
        <w:t>mencapai</w:t>
      </w:r>
      <w:proofErr w:type="spellEnd"/>
      <w:r w:rsidR="001E1FC5">
        <w:rPr>
          <w:rFonts w:ascii="Times New Roman" w:hAnsi="Times New Roman" w:cs="Times New Roman"/>
          <w:sz w:val="24"/>
          <w:szCs w:val="24"/>
        </w:rPr>
        <w:t xml:space="preserve"> BEP </w:t>
      </w:r>
      <w:proofErr w:type="spellStart"/>
      <w:r w:rsidR="001E1FC5">
        <w:rPr>
          <w:rFonts w:ascii="Times New Roman" w:hAnsi="Times New Roman" w:cs="Times New Roman"/>
          <w:sz w:val="24"/>
          <w:szCs w:val="24"/>
        </w:rPr>
        <w:t>pada</w:t>
      </w:r>
      <w:proofErr w:type="spellEnd"/>
      <w:r w:rsidR="001E1FC5">
        <w:rPr>
          <w:rFonts w:ascii="Times New Roman" w:hAnsi="Times New Roman" w:cs="Times New Roman"/>
          <w:sz w:val="24"/>
          <w:szCs w:val="24"/>
        </w:rPr>
        <w:t xml:space="preserve"> </w:t>
      </w:r>
      <w:proofErr w:type="spellStart"/>
      <w:r w:rsidR="001E1FC5">
        <w:rPr>
          <w:rFonts w:ascii="Times New Roman" w:hAnsi="Times New Roman" w:cs="Times New Roman"/>
          <w:sz w:val="24"/>
          <w:szCs w:val="24"/>
        </w:rPr>
        <w:t>tingkat</w:t>
      </w:r>
      <w:proofErr w:type="spellEnd"/>
      <w:r w:rsidR="001E1FC5">
        <w:rPr>
          <w:rFonts w:ascii="Times New Roman" w:hAnsi="Times New Roman" w:cs="Times New Roman"/>
          <w:sz w:val="24"/>
          <w:szCs w:val="24"/>
        </w:rPr>
        <w:t xml:space="preserve"> 2.44</w:t>
      </w:r>
      <w:r>
        <w:rPr>
          <w:rFonts w:ascii="Times New Roman" w:hAnsi="Times New Roman" w:cs="Times New Roman"/>
          <w:sz w:val="24"/>
          <w:szCs w:val="24"/>
        </w:rPr>
        <w:t xml:space="preserve">5 cup. </w:t>
      </w:r>
      <w:proofErr w:type="spellStart"/>
      <w:proofErr w:type="gramStart"/>
      <w:r>
        <w:rPr>
          <w:rFonts w:ascii="Times New Roman" w:hAnsi="Times New Roman" w:cs="Times New Roman"/>
          <w:sz w:val="24"/>
          <w:szCs w:val="24"/>
        </w:rPr>
        <w:t>Perhitungan-perhitungan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w:t>
      </w:r>
      <w:proofErr w:type="gramEnd"/>
    </w:p>
    <w:p w:rsidR="0023674E" w:rsidRDefault="0023674E" w:rsidP="005F7E1B">
      <w:pPr>
        <w:tabs>
          <w:tab w:val="left" w:pos="1916"/>
        </w:tabs>
        <w:spacing w:after="0" w:line="240" w:lineRule="auto"/>
        <w:jc w:val="both"/>
        <w:rPr>
          <w:rFonts w:ascii="Times New Roman" w:hAnsi="Times New Roman" w:cs="Times New Roman"/>
          <w:sz w:val="24"/>
          <w:szCs w:val="24"/>
        </w:rPr>
      </w:pPr>
    </w:p>
    <w:p w:rsidR="00AF54E2" w:rsidRPr="006100ED" w:rsidRDefault="0023674E" w:rsidP="005F7E1B">
      <w:pPr>
        <w:tabs>
          <w:tab w:val="left" w:pos="191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NPV (</w:t>
      </w:r>
      <w:r w:rsidRPr="009C500E">
        <w:rPr>
          <w:rFonts w:ascii="Times New Roman" w:hAnsi="Times New Roman" w:cs="Times New Roman"/>
          <w:i/>
          <w:sz w:val="24"/>
          <w:szCs w:val="24"/>
        </w:rPr>
        <w:t>Net Present Value</w:t>
      </w:r>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IRR (</w:t>
      </w:r>
      <w:r w:rsidRPr="009C500E">
        <w:rPr>
          <w:rFonts w:ascii="Times New Roman" w:hAnsi="Times New Roman" w:cs="Times New Roman"/>
          <w:i/>
          <w:sz w:val="24"/>
          <w:szCs w:val="24"/>
        </w:rPr>
        <w:t>Internal Rate of Return</w:t>
      </w:r>
      <w:r>
        <w:rPr>
          <w:rFonts w:ascii="Times New Roman" w:hAnsi="Times New Roman" w:cs="Times New Roman"/>
          <w:sz w:val="24"/>
          <w:szCs w:val="24"/>
        </w:rPr>
        <w:t>), PI (</w:t>
      </w:r>
      <w:r>
        <w:rPr>
          <w:rFonts w:ascii="Times New Roman" w:hAnsi="Times New Roman" w:cs="Times New Roman"/>
          <w:i/>
          <w:sz w:val="24"/>
          <w:szCs w:val="24"/>
        </w:rPr>
        <w:t xml:space="preserve">Profitability </w:t>
      </w:r>
      <w:proofErr w:type="spellStart"/>
      <w:r>
        <w:rPr>
          <w:rFonts w:ascii="Times New Roman" w:hAnsi="Times New Roman" w:cs="Times New Roman"/>
          <w:i/>
          <w:sz w:val="24"/>
          <w:szCs w:val="24"/>
        </w:rPr>
        <w:t>Indeks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9C500E">
        <w:rPr>
          <w:rFonts w:ascii="Times New Roman" w:hAnsi="Times New Roman" w:cs="Times New Roman"/>
          <w:i/>
          <w:sz w:val="24"/>
          <w:szCs w:val="24"/>
        </w:rPr>
        <w:t>Payback Period</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BEP (</w:t>
      </w:r>
      <w:r w:rsidRPr="009C500E">
        <w:rPr>
          <w:rFonts w:ascii="Times New Roman" w:hAnsi="Times New Roman" w:cs="Times New Roman"/>
          <w:i/>
          <w:sz w:val="24"/>
          <w:szCs w:val="24"/>
        </w:rPr>
        <w:t>Break Even Point</w:t>
      </w:r>
      <w:r>
        <w:rPr>
          <w:rFonts w:ascii="Times New Roman" w:hAnsi="Times New Roman" w:cs="Times New Roman"/>
          <w:sz w:val="24"/>
          <w:szCs w:val="24"/>
        </w:rPr>
        <w:t>).</w:t>
      </w:r>
    </w:p>
    <w:p w:rsidR="00AF54E2" w:rsidRDefault="00AF54E2" w:rsidP="005F7E1B">
      <w:pPr>
        <w:tabs>
          <w:tab w:val="left" w:pos="1916"/>
        </w:tabs>
        <w:spacing w:after="0" w:line="240" w:lineRule="auto"/>
        <w:jc w:val="both"/>
        <w:rPr>
          <w:rFonts w:ascii="Times New Roman" w:hAnsi="Times New Roman" w:cs="Times New Roman"/>
          <w:sz w:val="24"/>
        </w:rPr>
      </w:pPr>
      <w:r>
        <w:rPr>
          <w:rFonts w:ascii="Times New Roman" w:hAnsi="Times New Roman" w:cs="Times New Roman"/>
          <w:sz w:val="24"/>
          <w:szCs w:val="24"/>
        </w:rPr>
        <w:t xml:space="preserve"> </w:t>
      </w:r>
    </w:p>
    <w:p w:rsidR="00AF54E2" w:rsidRPr="006100ED" w:rsidRDefault="00AF54E2" w:rsidP="005F7E1B">
      <w:pPr>
        <w:spacing w:after="0" w:line="240" w:lineRule="auto"/>
        <w:rPr>
          <w:rFonts w:ascii="Times New Roman" w:hAnsi="Times New Roman" w:cs="Times New Roman"/>
          <w:sz w:val="24"/>
        </w:rPr>
      </w:pPr>
    </w:p>
    <w:p w:rsidR="00AF54E2" w:rsidRPr="006100ED" w:rsidRDefault="00AF54E2" w:rsidP="005F7E1B">
      <w:pPr>
        <w:spacing w:after="0" w:line="240" w:lineRule="auto"/>
        <w:rPr>
          <w:rFonts w:ascii="Times New Roman" w:hAnsi="Times New Roman" w:cs="Times New Roman"/>
          <w:sz w:val="24"/>
        </w:rPr>
      </w:pPr>
    </w:p>
    <w:p w:rsidR="00AF54E2" w:rsidRPr="006100ED" w:rsidRDefault="00AF54E2" w:rsidP="005F7E1B">
      <w:pPr>
        <w:spacing w:after="0" w:line="240" w:lineRule="auto"/>
        <w:rPr>
          <w:rFonts w:ascii="Times New Roman" w:hAnsi="Times New Roman" w:cs="Times New Roman"/>
          <w:sz w:val="24"/>
        </w:rPr>
      </w:pPr>
    </w:p>
    <w:p w:rsidR="00AF54E2" w:rsidRPr="006100ED" w:rsidRDefault="00AF54E2" w:rsidP="005F7E1B">
      <w:pPr>
        <w:spacing w:after="0" w:line="240" w:lineRule="auto"/>
        <w:rPr>
          <w:rFonts w:ascii="Times New Roman" w:hAnsi="Times New Roman" w:cs="Times New Roman"/>
          <w:sz w:val="24"/>
        </w:rPr>
      </w:pPr>
    </w:p>
    <w:p w:rsidR="005F7E1B" w:rsidRDefault="005F7E1B">
      <w:pPr>
        <w:rPr>
          <w:rFonts w:ascii="Times New Roman" w:hAnsi="Times New Roman" w:cs="Times New Roman"/>
          <w:sz w:val="24"/>
        </w:rPr>
      </w:pPr>
      <w:r>
        <w:rPr>
          <w:rFonts w:ascii="Times New Roman" w:hAnsi="Times New Roman" w:cs="Times New Roman"/>
          <w:sz w:val="24"/>
        </w:rPr>
        <w:br w:type="page"/>
      </w:r>
    </w:p>
    <w:p w:rsidR="00AF54E2" w:rsidRPr="00E415F0" w:rsidRDefault="00AF54E2" w:rsidP="005F7E1B">
      <w:pPr>
        <w:tabs>
          <w:tab w:val="left" w:pos="1916"/>
        </w:tabs>
        <w:spacing w:after="0" w:line="240" w:lineRule="auto"/>
        <w:jc w:val="center"/>
        <w:rPr>
          <w:rFonts w:ascii="Times New Roman" w:hAnsi="Times New Roman" w:cs="Times New Roman"/>
          <w:i/>
          <w:sz w:val="24"/>
          <w:szCs w:val="24"/>
        </w:rPr>
      </w:pPr>
      <w:r w:rsidRPr="00E415F0">
        <w:rPr>
          <w:rFonts w:ascii="Times New Roman" w:hAnsi="Times New Roman" w:cs="Times New Roman"/>
          <w:i/>
          <w:sz w:val="24"/>
          <w:szCs w:val="24"/>
        </w:rPr>
        <w:lastRenderedPageBreak/>
        <w:t xml:space="preserve">Evaluation of </w:t>
      </w:r>
      <w:proofErr w:type="spellStart"/>
      <w:r w:rsidRPr="00E415F0">
        <w:rPr>
          <w:rFonts w:ascii="Times New Roman" w:hAnsi="Times New Roman" w:cs="Times New Roman"/>
          <w:i/>
          <w:sz w:val="24"/>
          <w:szCs w:val="24"/>
        </w:rPr>
        <w:t>Calculat</w:t>
      </w:r>
      <w:proofErr w:type="spellEnd"/>
      <w:r w:rsidR="009909B1">
        <w:rPr>
          <w:rFonts w:ascii="Times New Roman" w:hAnsi="Times New Roman" w:cs="Times New Roman"/>
          <w:i/>
          <w:sz w:val="24"/>
          <w:szCs w:val="24"/>
          <w:lang w:val="id-ID"/>
        </w:rPr>
        <w:t>ion</w:t>
      </w:r>
      <w:r w:rsidRPr="00E415F0">
        <w:rPr>
          <w:rFonts w:ascii="Times New Roman" w:hAnsi="Times New Roman" w:cs="Times New Roman"/>
          <w:i/>
          <w:sz w:val="24"/>
          <w:szCs w:val="24"/>
        </w:rPr>
        <w:t xml:space="preserve"> of New Outlet Investment at </w:t>
      </w:r>
      <w:proofErr w:type="spellStart"/>
      <w:r w:rsidRPr="00E415F0">
        <w:rPr>
          <w:rFonts w:ascii="Times New Roman" w:hAnsi="Times New Roman" w:cs="Times New Roman"/>
          <w:i/>
          <w:sz w:val="24"/>
          <w:szCs w:val="24"/>
        </w:rPr>
        <w:t>Capcuzz</w:t>
      </w:r>
      <w:proofErr w:type="spellEnd"/>
      <w:r w:rsidRPr="00E415F0">
        <w:rPr>
          <w:rFonts w:ascii="Times New Roman" w:hAnsi="Times New Roman" w:cs="Times New Roman"/>
          <w:i/>
          <w:sz w:val="24"/>
          <w:szCs w:val="24"/>
        </w:rPr>
        <w:t xml:space="preserve"> Yogyakarta</w:t>
      </w:r>
    </w:p>
    <w:p w:rsidR="00AF54E2" w:rsidRDefault="00AF54E2" w:rsidP="005F7E1B">
      <w:pPr>
        <w:tabs>
          <w:tab w:val="left" w:pos="1916"/>
        </w:tabs>
        <w:spacing w:after="0" w:line="240" w:lineRule="auto"/>
        <w:jc w:val="center"/>
        <w:rPr>
          <w:rFonts w:ascii="Times New Roman" w:hAnsi="Times New Roman" w:cs="Times New Roman"/>
          <w:sz w:val="24"/>
          <w:szCs w:val="24"/>
        </w:rPr>
      </w:pPr>
    </w:p>
    <w:p w:rsidR="00AF54E2" w:rsidRPr="006100ED" w:rsidRDefault="00AF54E2" w:rsidP="005F7E1B">
      <w:pPr>
        <w:tabs>
          <w:tab w:val="left" w:pos="1916"/>
        </w:tabs>
        <w:spacing w:after="0" w:line="240" w:lineRule="auto"/>
        <w:jc w:val="center"/>
        <w:rPr>
          <w:rFonts w:ascii="Times New Roman" w:hAnsi="Times New Roman" w:cs="Times New Roman"/>
          <w:i/>
          <w:sz w:val="24"/>
          <w:szCs w:val="24"/>
        </w:rPr>
      </w:pPr>
      <w:proofErr w:type="spellStart"/>
      <w:r w:rsidRPr="006100ED">
        <w:rPr>
          <w:rFonts w:ascii="Times New Roman" w:hAnsi="Times New Roman" w:cs="Times New Roman"/>
          <w:i/>
          <w:sz w:val="24"/>
          <w:szCs w:val="24"/>
        </w:rPr>
        <w:t>Duwi</w:t>
      </w:r>
      <w:proofErr w:type="spellEnd"/>
      <w:r w:rsidRPr="006100ED">
        <w:rPr>
          <w:rFonts w:ascii="Times New Roman" w:hAnsi="Times New Roman" w:cs="Times New Roman"/>
          <w:i/>
          <w:sz w:val="24"/>
          <w:szCs w:val="24"/>
        </w:rPr>
        <w:t xml:space="preserve"> Ade </w:t>
      </w:r>
      <w:proofErr w:type="spellStart"/>
      <w:r w:rsidRPr="006100ED">
        <w:rPr>
          <w:rFonts w:ascii="Times New Roman" w:hAnsi="Times New Roman" w:cs="Times New Roman"/>
          <w:i/>
          <w:sz w:val="24"/>
          <w:szCs w:val="24"/>
        </w:rPr>
        <w:t>Setiawan</w:t>
      </w:r>
      <w:proofErr w:type="spellEnd"/>
    </w:p>
    <w:p w:rsidR="00AF54E2" w:rsidRDefault="00AF54E2" w:rsidP="005F7E1B">
      <w:pPr>
        <w:tabs>
          <w:tab w:val="left" w:pos="1916"/>
        </w:tabs>
        <w:spacing w:after="0" w:line="240" w:lineRule="auto"/>
        <w:jc w:val="center"/>
        <w:rPr>
          <w:rFonts w:ascii="Times New Roman" w:hAnsi="Times New Roman" w:cs="Times New Roman"/>
          <w:sz w:val="24"/>
          <w:szCs w:val="24"/>
        </w:rPr>
      </w:pPr>
      <w:r w:rsidRPr="006100ED">
        <w:rPr>
          <w:rFonts w:ascii="Times New Roman" w:hAnsi="Times New Roman" w:cs="Times New Roman"/>
          <w:i/>
          <w:sz w:val="24"/>
          <w:szCs w:val="24"/>
        </w:rPr>
        <w:t>5170121005</w:t>
      </w:r>
    </w:p>
    <w:p w:rsidR="00AF54E2" w:rsidRDefault="00AF54E2" w:rsidP="005F7E1B">
      <w:pPr>
        <w:tabs>
          <w:tab w:val="left" w:pos="1916"/>
        </w:tabs>
        <w:spacing w:after="0" w:line="240" w:lineRule="auto"/>
        <w:rPr>
          <w:rFonts w:ascii="Times New Roman" w:hAnsi="Times New Roman" w:cs="Times New Roman"/>
          <w:sz w:val="24"/>
          <w:szCs w:val="24"/>
        </w:rPr>
      </w:pPr>
    </w:p>
    <w:p w:rsidR="00AF54E2" w:rsidRDefault="009909B1" w:rsidP="005F7E1B">
      <w:pPr>
        <w:tabs>
          <w:tab w:val="left" w:pos="1916"/>
        </w:tabs>
        <w:spacing w:after="0" w:line="240" w:lineRule="auto"/>
        <w:jc w:val="both"/>
        <w:rPr>
          <w:rFonts w:ascii="Times New Roman" w:hAnsi="Times New Roman" w:cs="Times New Roman"/>
          <w:i/>
          <w:sz w:val="24"/>
          <w:szCs w:val="24"/>
          <w:lang w:val="id-ID"/>
        </w:rPr>
      </w:pPr>
      <w:r w:rsidRPr="009909B1">
        <w:rPr>
          <w:rFonts w:ascii="Times New Roman" w:hAnsi="Times New Roman" w:cs="Times New Roman"/>
          <w:i/>
          <w:sz w:val="24"/>
          <w:szCs w:val="24"/>
        </w:rPr>
        <w:t xml:space="preserve">The purpose of this Final Project Report is to determine the plan for a feasible investment to be implemented or not and choose an alternative investment that can maximize profits by considering the existing capital. </w:t>
      </w:r>
      <w:proofErr w:type="spellStart"/>
      <w:r w:rsidRPr="009909B1">
        <w:rPr>
          <w:rFonts w:ascii="Times New Roman" w:hAnsi="Times New Roman" w:cs="Times New Roman"/>
          <w:i/>
          <w:sz w:val="24"/>
          <w:szCs w:val="24"/>
        </w:rPr>
        <w:t>Capcuzz</w:t>
      </w:r>
      <w:proofErr w:type="spellEnd"/>
      <w:r w:rsidRPr="009909B1">
        <w:rPr>
          <w:rFonts w:ascii="Times New Roman" w:hAnsi="Times New Roman" w:cs="Times New Roman"/>
          <w:i/>
          <w:sz w:val="24"/>
          <w:szCs w:val="24"/>
        </w:rPr>
        <w:t xml:space="preserve"> is a trading company that sells food and beverage products. Sales are made through 14 </w:t>
      </w:r>
      <w:proofErr w:type="spellStart"/>
      <w:r w:rsidRPr="009909B1">
        <w:rPr>
          <w:rFonts w:ascii="Times New Roman" w:hAnsi="Times New Roman" w:cs="Times New Roman"/>
          <w:i/>
          <w:sz w:val="24"/>
          <w:szCs w:val="24"/>
        </w:rPr>
        <w:t>Capcuzz</w:t>
      </w:r>
      <w:proofErr w:type="spellEnd"/>
      <w:r w:rsidRPr="009909B1">
        <w:rPr>
          <w:rFonts w:ascii="Times New Roman" w:hAnsi="Times New Roman" w:cs="Times New Roman"/>
          <w:i/>
          <w:sz w:val="24"/>
          <w:szCs w:val="24"/>
        </w:rPr>
        <w:t xml:space="preserve"> outlets spread in Yogyakarta and Solo. The investment evaluation calculation is focused on financial aspects, with stages: identification of initial investment costs, identification of cash inflows, identification of cash outflows, calculation of NPV (Net Present Value) value, IRR (Internal Rate of Return), PI (Profitability Index), the value of Payback Period, and BEP (Break Even Point). The investment cost report shows that the total cost is </w:t>
      </w:r>
      <w:proofErr w:type="spellStart"/>
      <w:r w:rsidRPr="009909B1">
        <w:rPr>
          <w:rFonts w:ascii="Times New Roman" w:hAnsi="Times New Roman" w:cs="Times New Roman"/>
          <w:i/>
          <w:sz w:val="24"/>
          <w:szCs w:val="24"/>
        </w:rPr>
        <w:t>Rp</w:t>
      </w:r>
      <w:proofErr w:type="spellEnd"/>
      <w:r w:rsidRPr="009909B1">
        <w:rPr>
          <w:rFonts w:ascii="Times New Roman" w:hAnsi="Times New Roman" w:cs="Times New Roman"/>
          <w:i/>
          <w:sz w:val="24"/>
          <w:szCs w:val="24"/>
        </w:rPr>
        <w:t xml:space="preserve">. 38,000,000, with the NPV yield of </w:t>
      </w:r>
      <w:proofErr w:type="spellStart"/>
      <w:r w:rsidRPr="009909B1">
        <w:rPr>
          <w:rFonts w:ascii="Times New Roman" w:hAnsi="Times New Roman" w:cs="Times New Roman"/>
          <w:i/>
          <w:sz w:val="24"/>
          <w:szCs w:val="24"/>
        </w:rPr>
        <w:t>Rp</w:t>
      </w:r>
      <w:proofErr w:type="spellEnd"/>
      <w:r w:rsidRPr="009909B1">
        <w:rPr>
          <w:rFonts w:ascii="Times New Roman" w:hAnsi="Times New Roman" w:cs="Times New Roman"/>
          <w:i/>
          <w:sz w:val="24"/>
          <w:szCs w:val="24"/>
        </w:rPr>
        <w:t>. 51,499,855, - IRR 49.58%, PI 2.57, the investment will return in 9 months and 9 days and can be said to be a fast rate Product sales volume reaches BEP at the level of 2,445 cups. These calculations show that investment is feasible.</w:t>
      </w:r>
    </w:p>
    <w:p w:rsidR="005F7E1B" w:rsidRPr="005F7E1B" w:rsidRDefault="005F7E1B" w:rsidP="005F7E1B">
      <w:pPr>
        <w:tabs>
          <w:tab w:val="left" w:pos="1916"/>
        </w:tabs>
        <w:spacing w:after="0" w:line="240" w:lineRule="auto"/>
        <w:jc w:val="both"/>
        <w:rPr>
          <w:rFonts w:ascii="Times New Roman" w:hAnsi="Times New Roman" w:cs="Times New Roman"/>
          <w:sz w:val="24"/>
          <w:szCs w:val="24"/>
          <w:lang w:val="id-ID"/>
        </w:rPr>
      </w:pPr>
    </w:p>
    <w:p w:rsidR="00AF54E2" w:rsidRDefault="00AF54E2" w:rsidP="005F7E1B">
      <w:pPr>
        <w:spacing w:after="0" w:line="240" w:lineRule="auto"/>
        <w:rPr>
          <w:rFonts w:ascii="Times New Roman" w:hAnsi="Times New Roman" w:cs="Times New Roman"/>
          <w:sz w:val="24"/>
        </w:rPr>
      </w:pPr>
      <w:proofErr w:type="gramStart"/>
      <w:r w:rsidRPr="00E415F0">
        <w:rPr>
          <w:rFonts w:ascii="Times New Roman" w:hAnsi="Times New Roman" w:cs="Times New Roman"/>
          <w:i/>
          <w:sz w:val="24"/>
          <w:szCs w:val="24"/>
        </w:rPr>
        <w:t>Keywords</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E415F0">
        <w:rPr>
          <w:rFonts w:ascii="Times New Roman" w:hAnsi="Times New Roman" w:cs="Times New Roman"/>
          <w:i/>
          <w:sz w:val="24"/>
          <w:szCs w:val="24"/>
        </w:rPr>
        <w:t>Investment report, initial investment cost, identification of cash inflows, identification of cash outflows, calculation of NPV (Net Present Value) value, IRR (Internal Rate of Return), PI (Profitability Index), Payback Period, and BEP (Break Even Point).</w:t>
      </w:r>
    </w:p>
    <w:p w:rsidR="00AF54E2" w:rsidRPr="001860B6" w:rsidRDefault="00AF54E2" w:rsidP="005F7E1B">
      <w:pPr>
        <w:spacing w:after="0" w:line="240" w:lineRule="auto"/>
        <w:rPr>
          <w:rFonts w:ascii="Times New Roman" w:hAnsi="Times New Roman" w:cs="Times New Roman"/>
          <w:sz w:val="24"/>
        </w:rPr>
      </w:pPr>
    </w:p>
    <w:p w:rsidR="00AF54E2" w:rsidRPr="001860B6" w:rsidRDefault="00AF54E2" w:rsidP="005F7E1B">
      <w:pPr>
        <w:spacing w:after="0" w:line="240" w:lineRule="auto"/>
        <w:rPr>
          <w:rFonts w:ascii="Times New Roman" w:hAnsi="Times New Roman" w:cs="Times New Roman"/>
          <w:sz w:val="24"/>
        </w:rPr>
      </w:pPr>
    </w:p>
    <w:p w:rsidR="001860B6" w:rsidRPr="00E6204D" w:rsidRDefault="001860B6" w:rsidP="005F7E1B">
      <w:pPr>
        <w:tabs>
          <w:tab w:val="left" w:pos="1185"/>
        </w:tabs>
        <w:spacing w:after="0" w:line="240" w:lineRule="auto"/>
        <w:rPr>
          <w:rFonts w:ascii="Times New Roman" w:hAnsi="Times New Roman" w:cs="Times New Roman"/>
          <w:sz w:val="24"/>
        </w:rPr>
      </w:pPr>
      <w:bookmarkStart w:id="0" w:name="_GoBack"/>
      <w:bookmarkEnd w:id="0"/>
    </w:p>
    <w:sectPr w:rsidR="001860B6" w:rsidRPr="00E6204D" w:rsidSect="0026274F">
      <w:footerReference w:type="default" r:id="rId9"/>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70" w:rsidRDefault="00713D70" w:rsidP="00F926F2">
      <w:pPr>
        <w:spacing w:after="0" w:line="240" w:lineRule="auto"/>
      </w:pPr>
      <w:r>
        <w:separator/>
      </w:r>
    </w:p>
  </w:endnote>
  <w:endnote w:type="continuationSeparator" w:id="0">
    <w:p w:rsidR="00713D70" w:rsidRDefault="00713D70" w:rsidP="00F9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4F" w:rsidRDefault="0026274F">
    <w:pPr>
      <w:pStyle w:val="Footer"/>
      <w:jc w:val="center"/>
    </w:pPr>
  </w:p>
  <w:p w:rsidR="0026274F" w:rsidRDefault="00262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70" w:rsidRDefault="00713D70" w:rsidP="00F926F2">
      <w:pPr>
        <w:spacing w:after="0" w:line="240" w:lineRule="auto"/>
      </w:pPr>
      <w:r>
        <w:separator/>
      </w:r>
    </w:p>
  </w:footnote>
  <w:footnote w:type="continuationSeparator" w:id="0">
    <w:p w:rsidR="00713D70" w:rsidRDefault="00713D70" w:rsidP="00F92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1E4"/>
    <w:multiLevelType w:val="hybridMultilevel"/>
    <w:tmpl w:val="8D44CB2A"/>
    <w:lvl w:ilvl="0" w:tplc="7D80252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3DA6D59"/>
    <w:multiLevelType w:val="hybridMultilevel"/>
    <w:tmpl w:val="D984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A4569"/>
    <w:multiLevelType w:val="hybridMultilevel"/>
    <w:tmpl w:val="47B684A0"/>
    <w:lvl w:ilvl="0" w:tplc="5CD6E6A0">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nsid w:val="11A81EDC"/>
    <w:multiLevelType w:val="hybridMultilevel"/>
    <w:tmpl w:val="7B18E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E1D4B"/>
    <w:multiLevelType w:val="hybridMultilevel"/>
    <w:tmpl w:val="DC7AF8C4"/>
    <w:lvl w:ilvl="0" w:tplc="5784E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BF3650"/>
    <w:multiLevelType w:val="hybridMultilevel"/>
    <w:tmpl w:val="9866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80572"/>
    <w:multiLevelType w:val="hybridMultilevel"/>
    <w:tmpl w:val="EECA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43E03"/>
    <w:multiLevelType w:val="hybridMultilevel"/>
    <w:tmpl w:val="6D9EE83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56918"/>
    <w:multiLevelType w:val="hybridMultilevel"/>
    <w:tmpl w:val="171044CE"/>
    <w:lvl w:ilvl="0" w:tplc="87C29E0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42A57220"/>
    <w:multiLevelType w:val="hybridMultilevel"/>
    <w:tmpl w:val="47B684A0"/>
    <w:lvl w:ilvl="0" w:tplc="5CD6E6A0">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nsid w:val="57146E9D"/>
    <w:multiLevelType w:val="hybridMultilevel"/>
    <w:tmpl w:val="5CB875B2"/>
    <w:lvl w:ilvl="0" w:tplc="81FC1CA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638B0DAB"/>
    <w:multiLevelType w:val="hybridMultilevel"/>
    <w:tmpl w:val="E2C88EA6"/>
    <w:lvl w:ilvl="0" w:tplc="CD40C194">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2">
    <w:nsid w:val="648A4956"/>
    <w:multiLevelType w:val="hybridMultilevel"/>
    <w:tmpl w:val="E2C88EA6"/>
    <w:lvl w:ilvl="0" w:tplc="CD40C194">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nsid w:val="659A0B8C"/>
    <w:multiLevelType w:val="hybridMultilevel"/>
    <w:tmpl w:val="65DE86EA"/>
    <w:lvl w:ilvl="0" w:tplc="38F8E20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68D203CC"/>
    <w:multiLevelType w:val="hybridMultilevel"/>
    <w:tmpl w:val="977C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570DF7"/>
    <w:multiLevelType w:val="hybridMultilevel"/>
    <w:tmpl w:val="47B684A0"/>
    <w:lvl w:ilvl="0" w:tplc="5CD6E6A0">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6">
    <w:nsid w:val="73240A8D"/>
    <w:multiLevelType w:val="hybridMultilevel"/>
    <w:tmpl w:val="E2C88EA6"/>
    <w:lvl w:ilvl="0" w:tplc="CD40C194">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7">
    <w:nsid w:val="7B7F13C1"/>
    <w:multiLevelType w:val="hybridMultilevel"/>
    <w:tmpl w:val="F244C290"/>
    <w:lvl w:ilvl="0" w:tplc="8228BF8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nsid w:val="7E2A5978"/>
    <w:multiLevelType w:val="hybridMultilevel"/>
    <w:tmpl w:val="40EE7E18"/>
    <w:lvl w:ilvl="0" w:tplc="D86AE34A">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14"/>
  </w:num>
  <w:num w:numId="2">
    <w:abstractNumId w:val="15"/>
  </w:num>
  <w:num w:numId="3">
    <w:abstractNumId w:val="2"/>
  </w:num>
  <w:num w:numId="4">
    <w:abstractNumId w:val="5"/>
  </w:num>
  <w:num w:numId="5">
    <w:abstractNumId w:val="4"/>
  </w:num>
  <w:num w:numId="6">
    <w:abstractNumId w:val="0"/>
  </w:num>
  <w:num w:numId="7">
    <w:abstractNumId w:val="10"/>
  </w:num>
  <w:num w:numId="8">
    <w:abstractNumId w:val="3"/>
  </w:num>
  <w:num w:numId="9">
    <w:abstractNumId w:val="7"/>
  </w:num>
  <w:num w:numId="10">
    <w:abstractNumId w:val="6"/>
  </w:num>
  <w:num w:numId="11">
    <w:abstractNumId w:val="1"/>
  </w:num>
  <w:num w:numId="12">
    <w:abstractNumId w:val="9"/>
  </w:num>
  <w:num w:numId="13">
    <w:abstractNumId w:val="17"/>
  </w:num>
  <w:num w:numId="14">
    <w:abstractNumId w:val="18"/>
  </w:num>
  <w:num w:numId="15">
    <w:abstractNumId w:val="13"/>
  </w:num>
  <w:num w:numId="16">
    <w:abstractNumId w:val="8"/>
  </w:num>
  <w:num w:numId="17">
    <w:abstractNumId w:val="16"/>
  </w:num>
  <w:num w:numId="18">
    <w:abstractNumId w:val="11"/>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81"/>
    <w:rsid w:val="00010404"/>
    <w:rsid w:val="000143CC"/>
    <w:rsid w:val="0003328B"/>
    <w:rsid w:val="000407C7"/>
    <w:rsid w:val="000416C0"/>
    <w:rsid w:val="000524CE"/>
    <w:rsid w:val="00052EEC"/>
    <w:rsid w:val="00056AB8"/>
    <w:rsid w:val="00070CD9"/>
    <w:rsid w:val="00076285"/>
    <w:rsid w:val="000821E3"/>
    <w:rsid w:val="00085C2B"/>
    <w:rsid w:val="000924E3"/>
    <w:rsid w:val="0009275A"/>
    <w:rsid w:val="000955CF"/>
    <w:rsid w:val="00097AC6"/>
    <w:rsid w:val="00097B4D"/>
    <w:rsid w:val="000A0CD4"/>
    <w:rsid w:val="000B15E8"/>
    <w:rsid w:val="000B1E4D"/>
    <w:rsid w:val="000B7716"/>
    <w:rsid w:val="000C08BF"/>
    <w:rsid w:val="000D2F8A"/>
    <w:rsid w:val="000D5335"/>
    <w:rsid w:val="000D55AD"/>
    <w:rsid w:val="000E08A8"/>
    <w:rsid w:val="00106A2F"/>
    <w:rsid w:val="00113969"/>
    <w:rsid w:val="001165AB"/>
    <w:rsid w:val="00140169"/>
    <w:rsid w:val="0014036A"/>
    <w:rsid w:val="00140F52"/>
    <w:rsid w:val="001436A0"/>
    <w:rsid w:val="00146978"/>
    <w:rsid w:val="00150941"/>
    <w:rsid w:val="00177E32"/>
    <w:rsid w:val="001816DA"/>
    <w:rsid w:val="00182B25"/>
    <w:rsid w:val="001860B6"/>
    <w:rsid w:val="00186EB7"/>
    <w:rsid w:val="00192066"/>
    <w:rsid w:val="00195C71"/>
    <w:rsid w:val="00197A56"/>
    <w:rsid w:val="001A0216"/>
    <w:rsid w:val="001A72E7"/>
    <w:rsid w:val="001A7C11"/>
    <w:rsid w:val="001B1902"/>
    <w:rsid w:val="001B279E"/>
    <w:rsid w:val="001C1D20"/>
    <w:rsid w:val="001C58CD"/>
    <w:rsid w:val="001C6C96"/>
    <w:rsid w:val="001E1FC5"/>
    <w:rsid w:val="001F2F4E"/>
    <w:rsid w:val="001F3B66"/>
    <w:rsid w:val="00203166"/>
    <w:rsid w:val="0020638C"/>
    <w:rsid w:val="00210558"/>
    <w:rsid w:val="00224BEF"/>
    <w:rsid w:val="0022674A"/>
    <w:rsid w:val="0023674E"/>
    <w:rsid w:val="00240CD1"/>
    <w:rsid w:val="00251537"/>
    <w:rsid w:val="00254E3B"/>
    <w:rsid w:val="0026274F"/>
    <w:rsid w:val="0028035B"/>
    <w:rsid w:val="00282076"/>
    <w:rsid w:val="002A6520"/>
    <w:rsid w:val="002A7893"/>
    <w:rsid w:val="002D24A7"/>
    <w:rsid w:val="002E5DC0"/>
    <w:rsid w:val="002E6118"/>
    <w:rsid w:val="002E612D"/>
    <w:rsid w:val="002E6C84"/>
    <w:rsid w:val="002F505E"/>
    <w:rsid w:val="002F681E"/>
    <w:rsid w:val="003049E4"/>
    <w:rsid w:val="0031223E"/>
    <w:rsid w:val="00316A2F"/>
    <w:rsid w:val="00317DDF"/>
    <w:rsid w:val="00342039"/>
    <w:rsid w:val="00375896"/>
    <w:rsid w:val="00380A84"/>
    <w:rsid w:val="003838C5"/>
    <w:rsid w:val="00390064"/>
    <w:rsid w:val="003960A2"/>
    <w:rsid w:val="003A715D"/>
    <w:rsid w:val="003B5722"/>
    <w:rsid w:val="003D13AA"/>
    <w:rsid w:val="003D1C8D"/>
    <w:rsid w:val="003D4C09"/>
    <w:rsid w:val="003D68E8"/>
    <w:rsid w:val="003F5EA3"/>
    <w:rsid w:val="00404EE1"/>
    <w:rsid w:val="00411555"/>
    <w:rsid w:val="00444B00"/>
    <w:rsid w:val="004458AB"/>
    <w:rsid w:val="00450D34"/>
    <w:rsid w:val="00452F50"/>
    <w:rsid w:val="0046082E"/>
    <w:rsid w:val="00462FC5"/>
    <w:rsid w:val="004645ED"/>
    <w:rsid w:val="00467183"/>
    <w:rsid w:val="00495B42"/>
    <w:rsid w:val="004973E7"/>
    <w:rsid w:val="004C04B6"/>
    <w:rsid w:val="004F4010"/>
    <w:rsid w:val="004F7D60"/>
    <w:rsid w:val="005028A3"/>
    <w:rsid w:val="00522AD8"/>
    <w:rsid w:val="00527132"/>
    <w:rsid w:val="005367CE"/>
    <w:rsid w:val="00554465"/>
    <w:rsid w:val="00565912"/>
    <w:rsid w:val="005908D9"/>
    <w:rsid w:val="00590B4B"/>
    <w:rsid w:val="005A3B56"/>
    <w:rsid w:val="005A4C34"/>
    <w:rsid w:val="005B26C2"/>
    <w:rsid w:val="005B4CB9"/>
    <w:rsid w:val="005B744F"/>
    <w:rsid w:val="005D7FE9"/>
    <w:rsid w:val="005F1F2D"/>
    <w:rsid w:val="005F234D"/>
    <w:rsid w:val="005F7E1B"/>
    <w:rsid w:val="00605C76"/>
    <w:rsid w:val="006100ED"/>
    <w:rsid w:val="006122C9"/>
    <w:rsid w:val="006261DA"/>
    <w:rsid w:val="00654E84"/>
    <w:rsid w:val="006551F7"/>
    <w:rsid w:val="006605E6"/>
    <w:rsid w:val="00663FC9"/>
    <w:rsid w:val="0067026F"/>
    <w:rsid w:val="00671998"/>
    <w:rsid w:val="0068120E"/>
    <w:rsid w:val="0068742A"/>
    <w:rsid w:val="00695BA9"/>
    <w:rsid w:val="006A5AEC"/>
    <w:rsid w:val="006B50FA"/>
    <w:rsid w:val="006C1B4C"/>
    <w:rsid w:val="006F4213"/>
    <w:rsid w:val="006F4BD9"/>
    <w:rsid w:val="007072A3"/>
    <w:rsid w:val="00713D70"/>
    <w:rsid w:val="00746BC8"/>
    <w:rsid w:val="00747981"/>
    <w:rsid w:val="00755272"/>
    <w:rsid w:val="007601E7"/>
    <w:rsid w:val="00760EEF"/>
    <w:rsid w:val="00776B14"/>
    <w:rsid w:val="0079629D"/>
    <w:rsid w:val="007A68F6"/>
    <w:rsid w:val="007B0D2E"/>
    <w:rsid w:val="007C00F6"/>
    <w:rsid w:val="007C340E"/>
    <w:rsid w:val="007D65BB"/>
    <w:rsid w:val="007E07D7"/>
    <w:rsid w:val="007F22C9"/>
    <w:rsid w:val="007F7028"/>
    <w:rsid w:val="00806A6A"/>
    <w:rsid w:val="00807F41"/>
    <w:rsid w:val="008139D2"/>
    <w:rsid w:val="00813FF2"/>
    <w:rsid w:val="0081735F"/>
    <w:rsid w:val="0082200C"/>
    <w:rsid w:val="00822AC2"/>
    <w:rsid w:val="0083496C"/>
    <w:rsid w:val="008543DC"/>
    <w:rsid w:val="00860131"/>
    <w:rsid w:val="00861AF2"/>
    <w:rsid w:val="008710E0"/>
    <w:rsid w:val="00883D80"/>
    <w:rsid w:val="00885659"/>
    <w:rsid w:val="00890602"/>
    <w:rsid w:val="00891628"/>
    <w:rsid w:val="008B332A"/>
    <w:rsid w:val="008B69AB"/>
    <w:rsid w:val="008C2453"/>
    <w:rsid w:val="008E57F5"/>
    <w:rsid w:val="008F01D7"/>
    <w:rsid w:val="008F1E67"/>
    <w:rsid w:val="008F5EA5"/>
    <w:rsid w:val="00902FCD"/>
    <w:rsid w:val="00914153"/>
    <w:rsid w:val="00916EB9"/>
    <w:rsid w:val="009171D7"/>
    <w:rsid w:val="009255CD"/>
    <w:rsid w:val="00925CFC"/>
    <w:rsid w:val="00930AEE"/>
    <w:rsid w:val="00935ECF"/>
    <w:rsid w:val="00946556"/>
    <w:rsid w:val="009522B5"/>
    <w:rsid w:val="00953D88"/>
    <w:rsid w:val="009679E7"/>
    <w:rsid w:val="00977317"/>
    <w:rsid w:val="009909B1"/>
    <w:rsid w:val="009A585C"/>
    <w:rsid w:val="009A5EE7"/>
    <w:rsid w:val="009A7EA9"/>
    <w:rsid w:val="009B46BA"/>
    <w:rsid w:val="009C500E"/>
    <w:rsid w:val="009D602F"/>
    <w:rsid w:val="009D76E1"/>
    <w:rsid w:val="009E3857"/>
    <w:rsid w:val="009E3CAA"/>
    <w:rsid w:val="00A00121"/>
    <w:rsid w:val="00A01E1A"/>
    <w:rsid w:val="00A036E3"/>
    <w:rsid w:val="00A105C1"/>
    <w:rsid w:val="00A1103A"/>
    <w:rsid w:val="00A12CEC"/>
    <w:rsid w:val="00A30636"/>
    <w:rsid w:val="00A3785E"/>
    <w:rsid w:val="00A47F61"/>
    <w:rsid w:val="00A50389"/>
    <w:rsid w:val="00A55DB0"/>
    <w:rsid w:val="00A75561"/>
    <w:rsid w:val="00A7792F"/>
    <w:rsid w:val="00A9288E"/>
    <w:rsid w:val="00AB1DD9"/>
    <w:rsid w:val="00AB26BD"/>
    <w:rsid w:val="00AE2993"/>
    <w:rsid w:val="00AF4756"/>
    <w:rsid w:val="00AF54E2"/>
    <w:rsid w:val="00B013F6"/>
    <w:rsid w:val="00B12D93"/>
    <w:rsid w:val="00B54B40"/>
    <w:rsid w:val="00B54E17"/>
    <w:rsid w:val="00BA7266"/>
    <w:rsid w:val="00BB0F39"/>
    <w:rsid w:val="00BB57D1"/>
    <w:rsid w:val="00BC454F"/>
    <w:rsid w:val="00BD216F"/>
    <w:rsid w:val="00BD70D2"/>
    <w:rsid w:val="00BF3A94"/>
    <w:rsid w:val="00C00D2C"/>
    <w:rsid w:val="00C0101A"/>
    <w:rsid w:val="00C05731"/>
    <w:rsid w:val="00C05EA0"/>
    <w:rsid w:val="00C20B0D"/>
    <w:rsid w:val="00C25BF1"/>
    <w:rsid w:val="00C55A87"/>
    <w:rsid w:val="00C62E45"/>
    <w:rsid w:val="00C70E81"/>
    <w:rsid w:val="00C739E8"/>
    <w:rsid w:val="00C76887"/>
    <w:rsid w:val="00C97A7E"/>
    <w:rsid w:val="00CC27AE"/>
    <w:rsid w:val="00CC60CB"/>
    <w:rsid w:val="00CC7B8F"/>
    <w:rsid w:val="00CD3017"/>
    <w:rsid w:val="00CD3101"/>
    <w:rsid w:val="00CF29F8"/>
    <w:rsid w:val="00CF32A9"/>
    <w:rsid w:val="00CF49E8"/>
    <w:rsid w:val="00CF74E3"/>
    <w:rsid w:val="00D02FF9"/>
    <w:rsid w:val="00D03E27"/>
    <w:rsid w:val="00D10C7E"/>
    <w:rsid w:val="00D12B82"/>
    <w:rsid w:val="00D1576B"/>
    <w:rsid w:val="00D2124B"/>
    <w:rsid w:val="00D33600"/>
    <w:rsid w:val="00D41F63"/>
    <w:rsid w:val="00D70D7A"/>
    <w:rsid w:val="00D758C3"/>
    <w:rsid w:val="00D762CE"/>
    <w:rsid w:val="00DA4A3B"/>
    <w:rsid w:val="00DC71CB"/>
    <w:rsid w:val="00DD788F"/>
    <w:rsid w:val="00DF7320"/>
    <w:rsid w:val="00E2113D"/>
    <w:rsid w:val="00E24213"/>
    <w:rsid w:val="00E41432"/>
    <w:rsid w:val="00E415F0"/>
    <w:rsid w:val="00E438E7"/>
    <w:rsid w:val="00E6204D"/>
    <w:rsid w:val="00E73F97"/>
    <w:rsid w:val="00E85253"/>
    <w:rsid w:val="00EA0D4F"/>
    <w:rsid w:val="00EA28FA"/>
    <w:rsid w:val="00EA6368"/>
    <w:rsid w:val="00EC0BC7"/>
    <w:rsid w:val="00EC1007"/>
    <w:rsid w:val="00EC47F7"/>
    <w:rsid w:val="00ED0C23"/>
    <w:rsid w:val="00ED1A17"/>
    <w:rsid w:val="00ED3CAD"/>
    <w:rsid w:val="00EE1C4E"/>
    <w:rsid w:val="00EE1DA9"/>
    <w:rsid w:val="00EF3E9D"/>
    <w:rsid w:val="00F21723"/>
    <w:rsid w:val="00F25C97"/>
    <w:rsid w:val="00F3721E"/>
    <w:rsid w:val="00F452C1"/>
    <w:rsid w:val="00F63454"/>
    <w:rsid w:val="00F71F3B"/>
    <w:rsid w:val="00F81D38"/>
    <w:rsid w:val="00F84A84"/>
    <w:rsid w:val="00F926F2"/>
    <w:rsid w:val="00F95A67"/>
    <w:rsid w:val="00F95DD5"/>
    <w:rsid w:val="00F96365"/>
    <w:rsid w:val="00FA0990"/>
    <w:rsid w:val="00FA21DC"/>
    <w:rsid w:val="00FA65AB"/>
    <w:rsid w:val="00FC054A"/>
    <w:rsid w:val="00FC5D33"/>
    <w:rsid w:val="00FE29C8"/>
    <w:rsid w:val="00FF7A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E2"/>
  </w:style>
  <w:style w:type="paragraph" w:styleId="Heading1">
    <w:name w:val="heading 1"/>
    <w:basedOn w:val="Normal"/>
    <w:next w:val="Normal"/>
    <w:link w:val="Heading1Char"/>
    <w:uiPriority w:val="9"/>
    <w:qFormat/>
    <w:rsid w:val="008F1E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EB9"/>
    <w:rPr>
      <w:rFonts w:ascii="Tahoma" w:hAnsi="Tahoma" w:cs="Tahoma"/>
      <w:sz w:val="16"/>
      <w:szCs w:val="16"/>
    </w:rPr>
  </w:style>
  <w:style w:type="paragraph" w:styleId="ListParagraph">
    <w:name w:val="List Paragraph"/>
    <w:basedOn w:val="Normal"/>
    <w:uiPriority w:val="34"/>
    <w:qFormat/>
    <w:rsid w:val="00F81D38"/>
    <w:pPr>
      <w:ind w:left="720"/>
      <w:contextualSpacing/>
    </w:pPr>
  </w:style>
  <w:style w:type="paragraph" w:styleId="Header">
    <w:name w:val="header"/>
    <w:basedOn w:val="Normal"/>
    <w:link w:val="HeaderChar"/>
    <w:uiPriority w:val="99"/>
    <w:unhideWhenUsed/>
    <w:rsid w:val="00F9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6F2"/>
  </w:style>
  <w:style w:type="paragraph" w:styleId="Footer">
    <w:name w:val="footer"/>
    <w:basedOn w:val="Normal"/>
    <w:link w:val="FooterChar"/>
    <w:uiPriority w:val="99"/>
    <w:unhideWhenUsed/>
    <w:rsid w:val="00F9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6F2"/>
  </w:style>
  <w:style w:type="character" w:styleId="PlaceholderText">
    <w:name w:val="Placeholder Text"/>
    <w:basedOn w:val="DefaultParagraphFont"/>
    <w:uiPriority w:val="99"/>
    <w:semiHidden/>
    <w:rsid w:val="000D55AD"/>
    <w:rPr>
      <w:color w:val="808080"/>
    </w:rPr>
  </w:style>
  <w:style w:type="character" w:customStyle="1" w:styleId="Heading1Char">
    <w:name w:val="Heading 1 Char"/>
    <w:basedOn w:val="DefaultParagraphFont"/>
    <w:link w:val="Heading1"/>
    <w:uiPriority w:val="9"/>
    <w:rsid w:val="008F1E6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F1E67"/>
    <w:pPr>
      <w:outlineLvl w:val="9"/>
    </w:pPr>
  </w:style>
  <w:style w:type="paragraph" w:styleId="TOC2">
    <w:name w:val="toc 2"/>
    <w:basedOn w:val="Normal"/>
    <w:next w:val="Normal"/>
    <w:autoRedefine/>
    <w:uiPriority w:val="39"/>
    <w:unhideWhenUsed/>
    <w:rsid w:val="008F1E67"/>
    <w:pPr>
      <w:spacing w:after="100"/>
      <w:ind w:left="220"/>
    </w:pPr>
    <w:rPr>
      <w:rFonts w:eastAsiaTheme="minorEastAsia" w:cs="Times New Roman"/>
    </w:rPr>
  </w:style>
  <w:style w:type="paragraph" w:styleId="TOC1">
    <w:name w:val="toc 1"/>
    <w:basedOn w:val="Normal"/>
    <w:next w:val="Normal"/>
    <w:autoRedefine/>
    <w:uiPriority w:val="39"/>
    <w:unhideWhenUsed/>
    <w:rsid w:val="008F1E67"/>
    <w:pPr>
      <w:spacing w:after="100"/>
    </w:pPr>
    <w:rPr>
      <w:rFonts w:eastAsiaTheme="minorEastAsia" w:cs="Times New Roman"/>
    </w:rPr>
  </w:style>
  <w:style w:type="paragraph" w:styleId="TOC3">
    <w:name w:val="toc 3"/>
    <w:basedOn w:val="Normal"/>
    <w:next w:val="Normal"/>
    <w:autoRedefine/>
    <w:uiPriority w:val="39"/>
    <w:unhideWhenUsed/>
    <w:rsid w:val="008F1E67"/>
    <w:pPr>
      <w:spacing w:after="100"/>
      <w:ind w:left="440"/>
    </w:pPr>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E2"/>
  </w:style>
  <w:style w:type="paragraph" w:styleId="Heading1">
    <w:name w:val="heading 1"/>
    <w:basedOn w:val="Normal"/>
    <w:next w:val="Normal"/>
    <w:link w:val="Heading1Char"/>
    <w:uiPriority w:val="9"/>
    <w:qFormat/>
    <w:rsid w:val="008F1E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EB9"/>
    <w:rPr>
      <w:rFonts w:ascii="Tahoma" w:hAnsi="Tahoma" w:cs="Tahoma"/>
      <w:sz w:val="16"/>
      <w:szCs w:val="16"/>
    </w:rPr>
  </w:style>
  <w:style w:type="paragraph" w:styleId="ListParagraph">
    <w:name w:val="List Paragraph"/>
    <w:basedOn w:val="Normal"/>
    <w:uiPriority w:val="34"/>
    <w:qFormat/>
    <w:rsid w:val="00F81D38"/>
    <w:pPr>
      <w:ind w:left="720"/>
      <w:contextualSpacing/>
    </w:pPr>
  </w:style>
  <w:style w:type="paragraph" w:styleId="Header">
    <w:name w:val="header"/>
    <w:basedOn w:val="Normal"/>
    <w:link w:val="HeaderChar"/>
    <w:uiPriority w:val="99"/>
    <w:unhideWhenUsed/>
    <w:rsid w:val="00F9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6F2"/>
  </w:style>
  <w:style w:type="paragraph" w:styleId="Footer">
    <w:name w:val="footer"/>
    <w:basedOn w:val="Normal"/>
    <w:link w:val="FooterChar"/>
    <w:uiPriority w:val="99"/>
    <w:unhideWhenUsed/>
    <w:rsid w:val="00F9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6F2"/>
  </w:style>
  <w:style w:type="character" w:styleId="PlaceholderText">
    <w:name w:val="Placeholder Text"/>
    <w:basedOn w:val="DefaultParagraphFont"/>
    <w:uiPriority w:val="99"/>
    <w:semiHidden/>
    <w:rsid w:val="000D55AD"/>
    <w:rPr>
      <w:color w:val="808080"/>
    </w:rPr>
  </w:style>
  <w:style w:type="character" w:customStyle="1" w:styleId="Heading1Char">
    <w:name w:val="Heading 1 Char"/>
    <w:basedOn w:val="DefaultParagraphFont"/>
    <w:link w:val="Heading1"/>
    <w:uiPriority w:val="9"/>
    <w:rsid w:val="008F1E6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F1E67"/>
    <w:pPr>
      <w:outlineLvl w:val="9"/>
    </w:pPr>
  </w:style>
  <w:style w:type="paragraph" w:styleId="TOC2">
    <w:name w:val="toc 2"/>
    <w:basedOn w:val="Normal"/>
    <w:next w:val="Normal"/>
    <w:autoRedefine/>
    <w:uiPriority w:val="39"/>
    <w:unhideWhenUsed/>
    <w:rsid w:val="008F1E67"/>
    <w:pPr>
      <w:spacing w:after="100"/>
      <w:ind w:left="220"/>
    </w:pPr>
    <w:rPr>
      <w:rFonts w:eastAsiaTheme="minorEastAsia" w:cs="Times New Roman"/>
    </w:rPr>
  </w:style>
  <w:style w:type="paragraph" w:styleId="TOC1">
    <w:name w:val="toc 1"/>
    <w:basedOn w:val="Normal"/>
    <w:next w:val="Normal"/>
    <w:autoRedefine/>
    <w:uiPriority w:val="39"/>
    <w:unhideWhenUsed/>
    <w:rsid w:val="008F1E67"/>
    <w:pPr>
      <w:spacing w:after="100"/>
    </w:pPr>
    <w:rPr>
      <w:rFonts w:eastAsiaTheme="minorEastAsia" w:cs="Times New Roman"/>
    </w:rPr>
  </w:style>
  <w:style w:type="paragraph" w:styleId="TOC3">
    <w:name w:val="toc 3"/>
    <w:basedOn w:val="Normal"/>
    <w:next w:val="Normal"/>
    <w:autoRedefine/>
    <w:uiPriority w:val="39"/>
    <w:unhideWhenUsed/>
    <w:rsid w:val="008F1E67"/>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1903">
      <w:bodyDiv w:val="1"/>
      <w:marLeft w:val="0"/>
      <w:marRight w:val="0"/>
      <w:marTop w:val="0"/>
      <w:marBottom w:val="0"/>
      <w:divBdr>
        <w:top w:val="none" w:sz="0" w:space="0" w:color="auto"/>
        <w:left w:val="none" w:sz="0" w:space="0" w:color="auto"/>
        <w:bottom w:val="none" w:sz="0" w:space="0" w:color="auto"/>
        <w:right w:val="none" w:sz="0" w:space="0" w:color="auto"/>
      </w:divBdr>
    </w:div>
    <w:div w:id="428082942">
      <w:bodyDiv w:val="1"/>
      <w:marLeft w:val="0"/>
      <w:marRight w:val="0"/>
      <w:marTop w:val="0"/>
      <w:marBottom w:val="0"/>
      <w:divBdr>
        <w:top w:val="none" w:sz="0" w:space="0" w:color="auto"/>
        <w:left w:val="none" w:sz="0" w:space="0" w:color="auto"/>
        <w:bottom w:val="none" w:sz="0" w:space="0" w:color="auto"/>
        <w:right w:val="none" w:sz="0" w:space="0" w:color="auto"/>
      </w:divBdr>
    </w:div>
    <w:div w:id="747964281">
      <w:bodyDiv w:val="1"/>
      <w:marLeft w:val="0"/>
      <w:marRight w:val="0"/>
      <w:marTop w:val="0"/>
      <w:marBottom w:val="0"/>
      <w:divBdr>
        <w:top w:val="none" w:sz="0" w:space="0" w:color="auto"/>
        <w:left w:val="none" w:sz="0" w:space="0" w:color="auto"/>
        <w:bottom w:val="none" w:sz="0" w:space="0" w:color="auto"/>
        <w:right w:val="none" w:sz="0" w:space="0" w:color="auto"/>
      </w:divBdr>
    </w:div>
    <w:div w:id="140668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B0995-E71B-474D-8855-8067F368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FITB UTY</cp:lastModifiedBy>
  <cp:revision>4</cp:revision>
  <cp:lastPrinted>2019-03-14T01:31:00Z</cp:lastPrinted>
  <dcterms:created xsi:type="dcterms:W3CDTF">2019-03-13T05:25:00Z</dcterms:created>
  <dcterms:modified xsi:type="dcterms:W3CDTF">2019-03-14T01:32:00Z</dcterms:modified>
</cp:coreProperties>
</file>