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6AAF" w14:textId="7838EA31" w:rsidR="00331FAE" w:rsidRPr="00BF3552" w:rsidRDefault="00331FAE" w:rsidP="00BF3552">
      <w:pPr>
        <w:spacing w:after="0" w:line="240" w:lineRule="auto"/>
        <w:jc w:val="center"/>
        <w:rPr>
          <w:rFonts w:ascii="Times New Roman" w:hAnsi="Times New Roman" w:cs="Times New Roman"/>
          <w:b/>
          <w:sz w:val="24"/>
          <w:szCs w:val="24"/>
          <w:lang w:val="id-ID"/>
        </w:rPr>
      </w:pPr>
      <w:r w:rsidRPr="00BF3552">
        <w:rPr>
          <w:rFonts w:ascii="Times New Roman" w:hAnsi="Times New Roman" w:cs="Times New Roman"/>
          <w:b/>
          <w:sz w:val="24"/>
          <w:szCs w:val="24"/>
          <w:lang w:val="id-ID"/>
        </w:rPr>
        <w:t>ANALISIS PENERAPAN MANAJEMEN KREDIT UNTUK MENINGKATKAN PROFITABILITAS PADA PT BPR BANK BAPAS 69 KANTOR CABANG MAGELANG SELATAN</w:t>
      </w:r>
    </w:p>
    <w:p w14:paraId="3ABC1D89" w14:textId="77777777" w:rsidR="00701D79" w:rsidRPr="00BF3552" w:rsidRDefault="00701D79" w:rsidP="00BF3552">
      <w:pPr>
        <w:spacing w:after="0" w:line="240" w:lineRule="auto"/>
        <w:jc w:val="center"/>
        <w:rPr>
          <w:rFonts w:ascii="Times New Roman" w:hAnsi="Times New Roman" w:cs="Times New Roman"/>
          <w:b/>
          <w:sz w:val="24"/>
          <w:szCs w:val="24"/>
          <w:lang w:val="id-ID"/>
        </w:rPr>
      </w:pPr>
    </w:p>
    <w:p w14:paraId="3E669DBB" w14:textId="5DC5DA93" w:rsidR="00331FAE" w:rsidRPr="00BF3552" w:rsidRDefault="00331FAE" w:rsidP="00BF3552">
      <w:pPr>
        <w:spacing w:after="0" w:line="240" w:lineRule="auto"/>
        <w:jc w:val="center"/>
        <w:rPr>
          <w:rFonts w:ascii="Times New Roman" w:hAnsi="Times New Roman" w:cs="Times New Roman"/>
          <w:b/>
          <w:sz w:val="24"/>
          <w:szCs w:val="24"/>
          <w:lang w:val="id-ID"/>
        </w:rPr>
      </w:pPr>
      <w:r w:rsidRPr="00BF3552">
        <w:rPr>
          <w:rFonts w:ascii="Times New Roman" w:hAnsi="Times New Roman" w:cs="Times New Roman"/>
          <w:b/>
          <w:sz w:val="24"/>
          <w:szCs w:val="24"/>
          <w:lang w:val="id-ID"/>
        </w:rPr>
        <w:t>Choirul Pramudiansyah</w:t>
      </w:r>
    </w:p>
    <w:p w14:paraId="0A5F1006" w14:textId="77777777" w:rsidR="00701D79" w:rsidRPr="00BF3552" w:rsidRDefault="00701D79" w:rsidP="00BF3552">
      <w:pPr>
        <w:spacing w:after="0" w:line="240" w:lineRule="auto"/>
        <w:jc w:val="center"/>
        <w:rPr>
          <w:rFonts w:ascii="Times New Roman" w:hAnsi="Times New Roman" w:cs="Times New Roman"/>
          <w:b/>
          <w:sz w:val="24"/>
          <w:szCs w:val="24"/>
          <w:lang w:val="id-ID"/>
        </w:rPr>
      </w:pPr>
    </w:p>
    <w:p w14:paraId="01BDE6D4" w14:textId="77777777" w:rsidR="00331FAE" w:rsidRPr="00BF3552" w:rsidRDefault="00331FAE" w:rsidP="00BF3552">
      <w:pPr>
        <w:pStyle w:val="Heading1"/>
        <w:spacing w:after="0" w:afterAutospacing="0" w:line="240" w:lineRule="auto"/>
      </w:pPr>
      <w:bookmarkStart w:id="0" w:name="_Toc108423454"/>
      <w:r w:rsidRPr="00BF3552">
        <w:t>Abstrak</w:t>
      </w:r>
      <w:bookmarkEnd w:id="0"/>
    </w:p>
    <w:p w14:paraId="6D4D08F6" w14:textId="0249DC28" w:rsidR="00331FAE" w:rsidRDefault="00331FAE" w:rsidP="00BF3552">
      <w:pPr>
        <w:spacing w:after="0" w:line="240" w:lineRule="auto"/>
        <w:jc w:val="both"/>
        <w:rPr>
          <w:rFonts w:ascii="Times New Roman" w:eastAsiaTheme="minorEastAsia" w:hAnsi="Times New Roman" w:cs="Times New Roman"/>
          <w:sz w:val="24"/>
          <w:szCs w:val="24"/>
          <w:lang w:val="id-ID"/>
        </w:rPr>
      </w:pPr>
      <w:r w:rsidRPr="00BF3552">
        <w:rPr>
          <w:rFonts w:ascii="Times New Roman" w:hAnsi="Times New Roman" w:cs="Times New Roman"/>
          <w:sz w:val="24"/>
          <w:szCs w:val="24"/>
          <w:lang w:val="id-ID"/>
        </w:rPr>
        <w:t xml:space="preserve">Penelitian ini dilakukan di PT. BPR Bank Bapas 69 Kantor Cabang Magelang Selatan. Tujuan penelitian ini adalah untuk mendeskripsikan penerapan manajemen kredit pada PT. BPR Bank Bapas 69 Kantor Cabang Magelang Selatan dalam upaya meningkatkan profitabilitas melalui kebijakan kredit yang dijalankan serta mendeskripsikan manajemen kredit yang efektif dilihat dari rasio keuangan perkreditan dan rasio profitabilitas. Hasil dari penelitian ini diperoleh analisis bahwa manajemen kredit yang diterapkan PT. BPR Bank Bapas 69 Kantor Cabang Magelang dalam memberikan kebijakan kreditnya adalah dengan menerapkan prinsip kehati-hatian, perencanaan kredit, pemberian kredit, pengawasan kredit dan berupaya mengamankan kredit yang bermasalah. Manajemen kredit juga menerapakam strategi untuk meningkatkan laba yang meningkat di setiap tahunya. Hasil pengukuran menggunakan rasio keuangan perkreditan meliputi </w:t>
      </w:r>
      <w:r w:rsidRPr="00BF3552">
        <w:rPr>
          <w:rFonts w:ascii="Times New Roman" w:hAnsi="Times New Roman" w:cs="Times New Roman"/>
          <w:i/>
          <w:sz w:val="24"/>
          <w:szCs w:val="24"/>
          <w:lang w:val="id-ID"/>
        </w:rPr>
        <w:t xml:space="preserve">Loan to Deposit Ratio </w:t>
      </w:r>
      <w:r w:rsidRPr="00BF3552">
        <w:rPr>
          <w:rFonts w:ascii="Times New Roman" w:hAnsi="Times New Roman" w:cs="Times New Roman"/>
          <w:sz w:val="24"/>
          <w:szCs w:val="24"/>
          <w:lang w:val="id-ID"/>
        </w:rPr>
        <w:t xml:space="preserve">yang tercapai pada tahun 2019-2021 dapat dikatakan efektif karena masih berada pada batas yang ditetapkan Bank Indonesia yaitu 75%-100%, akan tetapi pada ahun 2021 masih di bawah ketentuan Bank Indonesia. Nilai </w:t>
      </w:r>
      <w:r w:rsidRPr="00BF3552">
        <w:rPr>
          <w:rFonts w:ascii="Times New Roman" w:hAnsi="Times New Roman" w:cs="Times New Roman"/>
          <w:i/>
          <w:sz w:val="24"/>
          <w:szCs w:val="24"/>
          <w:lang w:val="id-ID"/>
        </w:rPr>
        <w:t>Capital Adequacy Ratio</w:t>
      </w:r>
      <w:r w:rsidRPr="00BF3552">
        <w:rPr>
          <w:rFonts w:ascii="Times New Roman" w:hAnsi="Times New Roman" w:cs="Times New Roman"/>
          <w:sz w:val="24"/>
          <w:szCs w:val="24"/>
          <w:lang w:val="id-ID"/>
        </w:rPr>
        <w:t xml:space="preserve"> bisa dikatakan efektif karena sesuai dengan peraturan Bank Indonesia yaitu lebih dari 8%. </w:t>
      </w:r>
      <w:r w:rsidRPr="00BF3552">
        <w:rPr>
          <w:rFonts w:ascii="Times New Roman" w:hAnsi="Times New Roman" w:cs="Times New Roman"/>
          <w:i/>
          <w:sz w:val="24"/>
          <w:szCs w:val="24"/>
          <w:lang w:val="id-ID"/>
        </w:rPr>
        <w:t xml:space="preserve">Return on Asset </w:t>
      </w:r>
      <w:r w:rsidRPr="00BF3552">
        <w:rPr>
          <w:rFonts w:ascii="Times New Roman" w:eastAsia="Times New Roman" w:hAnsi="Times New Roman" w:cs="Times New Roman"/>
          <w:color w:val="000000"/>
          <w:sz w:val="24"/>
          <w:szCs w:val="24"/>
          <w:lang w:val="id-ID"/>
        </w:rPr>
        <w:t xml:space="preserve">sudah dikatakan sehat sesuai dengan Peraturan Bank Indonesia yaitu diatas 1,5%. </w:t>
      </w:r>
      <w:r w:rsidRPr="00BF3552">
        <w:rPr>
          <w:rFonts w:ascii="Times New Roman" w:hAnsi="Times New Roman" w:cs="Times New Roman"/>
          <w:i/>
          <w:sz w:val="24"/>
          <w:szCs w:val="24"/>
          <w:lang w:val="id-ID"/>
        </w:rPr>
        <w:t xml:space="preserve">Return On Equity </w:t>
      </w:r>
      <w:r w:rsidRPr="00BF3552">
        <w:rPr>
          <w:rFonts w:ascii="Times New Roman" w:hAnsi="Times New Roman" w:cs="Times New Roman"/>
          <w:sz w:val="24"/>
          <w:szCs w:val="24"/>
          <w:lang w:val="id-ID"/>
        </w:rPr>
        <w:t xml:space="preserve">mengalami penurunan akan tetapi masih sesuai dengan Peraturan Bank Indonesia yaitu 12,5%. Rasio biaya operasional mengalami fluktuasi akan tetapi masih di bawah 94% ketentuan Bank Indonesia. Persentase </w:t>
      </w:r>
      <w:r w:rsidRPr="00BF3552">
        <w:rPr>
          <w:rFonts w:ascii="Times New Roman" w:eastAsiaTheme="minorEastAsia" w:hAnsi="Times New Roman" w:cs="Times New Roman"/>
          <w:i/>
          <w:sz w:val="24"/>
          <w:szCs w:val="24"/>
          <w:lang w:val="id-ID"/>
        </w:rPr>
        <w:t xml:space="preserve">Net Profit Margin </w:t>
      </w:r>
      <w:r w:rsidRPr="00BF3552">
        <w:rPr>
          <w:rFonts w:ascii="Times New Roman" w:eastAsiaTheme="minorEastAsia" w:hAnsi="Times New Roman" w:cs="Times New Roman"/>
          <w:sz w:val="24"/>
          <w:szCs w:val="24"/>
          <w:lang w:val="id-ID"/>
        </w:rPr>
        <w:t>mengalami fluktuatif. Dari perhitungan rasio didapatkan hasil yang fluktuatif, hal ini menjadi perhatian khusus bagi kebijakan manajemen kredit dalam mengelola kredit dan profitabilitas.</w:t>
      </w:r>
    </w:p>
    <w:p w14:paraId="668F8E58" w14:textId="77777777" w:rsidR="00BF3552" w:rsidRPr="00BF3552" w:rsidRDefault="00BF3552" w:rsidP="00BF3552">
      <w:pPr>
        <w:spacing w:after="0" w:line="240" w:lineRule="auto"/>
        <w:jc w:val="both"/>
        <w:rPr>
          <w:rFonts w:ascii="Times New Roman" w:eastAsiaTheme="minorEastAsia" w:hAnsi="Times New Roman" w:cs="Times New Roman"/>
          <w:sz w:val="24"/>
          <w:szCs w:val="24"/>
          <w:lang w:val="id-ID"/>
        </w:rPr>
      </w:pPr>
    </w:p>
    <w:p w14:paraId="3F5DBD2E" w14:textId="2C54BF6E" w:rsidR="00331FAE" w:rsidRDefault="00331FAE" w:rsidP="00BF3552">
      <w:pPr>
        <w:spacing w:after="0" w:line="240" w:lineRule="auto"/>
        <w:jc w:val="both"/>
        <w:rPr>
          <w:rFonts w:ascii="Times New Roman" w:eastAsiaTheme="minorEastAsia" w:hAnsi="Times New Roman" w:cs="Times New Roman"/>
          <w:i/>
          <w:iCs/>
          <w:sz w:val="24"/>
          <w:szCs w:val="24"/>
          <w:lang w:val="id-ID"/>
        </w:rPr>
      </w:pPr>
      <w:r w:rsidRPr="00BF3552">
        <w:rPr>
          <w:rFonts w:ascii="Times New Roman" w:eastAsiaTheme="minorEastAsia" w:hAnsi="Times New Roman" w:cs="Times New Roman"/>
          <w:b/>
          <w:sz w:val="24"/>
          <w:szCs w:val="24"/>
          <w:lang w:val="id-ID"/>
        </w:rPr>
        <w:t xml:space="preserve">Kata Kunci: </w:t>
      </w:r>
      <w:r w:rsidRPr="00BF3552">
        <w:rPr>
          <w:rFonts w:ascii="Times New Roman" w:eastAsiaTheme="minorEastAsia" w:hAnsi="Times New Roman" w:cs="Times New Roman"/>
          <w:i/>
          <w:iCs/>
          <w:sz w:val="24"/>
          <w:szCs w:val="24"/>
          <w:lang w:val="id-ID"/>
        </w:rPr>
        <w:t>Manajemen Kredit, Profitabilitas.</w:t>
      </w:r>
    </w:p>
    <w:p w14:paraId="4A40BA4C" w14:textId="3037DF8F" w:rsidR="00BF3552" w:rsidRPr="00BF3552" w:rsidRDefault="00BF3552" w:rsidP="00BF3552">
      <w:pPr>
        <w:spacing w:after="0" w:line="240" w:lineRule="auto"/>
        <w:jc w:val="both"/>
        <w:rPr>
          <w:rFonts w:ascii="Times New Roman" w:eastAsiaTheme="minorEastAsia" w:hAnsi="Times New Roman" w:cs="Times New Roman"/>
          <w:sz w:val="24"/>
          <w:szCs w:val="24"/>
          <w:lang w:val="id-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6A8844A4" wp14:editId="08BE43AA">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02936" w14:textId="77777777" w:rsidR="00BF3552" w:rsidRDefault="00BF3552">
      <w:pPr>
        <w:rPr>
          <w:rFonts w:ascii="Times New Roman" w:hAnsi="Times New Roman" w:cs="Times New Roman"/>
          <w:b/>
          <w:i/>
          <w:sz w:val="24"/>
          <w:szCs w:val="24"/>
          <w:lang w:val="id-ID"/>
        </w:rPr>
      </w:pPr>
      <w:r>
        <w:rPr>
          <w:rFonts w:ascii="Times New Roman" w:hAnsi="Times New Roman" w:cs="Times New Roman"/>
          <w:b/>
          <w:i/>
          <w:sz w:val="24"/>
          <w:szCs w:val="24"/>
          <w:lang w:val="id-ID"/>
        </w:rPr>
        <w:br w:type="page"/>
      </w:r>
    </w:p>
    <w:p w14:paraId="02EA1E7C" w14:textId="06E77324" w:rsidR="00331FAE" w:rsidRPr="00BF3552" w:rsidRDefault="00331FAE" w:rsidP="00BF3552">
      <w:pPr>
        <w:spacing w:after="0" w:line="240" w:lineRule="auto"/>
        <w:jc w:val="center"/>
        <w:rPr>
          <w:rFonts w:ascii="Times New Roman" w:hAnsi="Times New Roman" w:cs="Times New Roman"/>
          <w:b/>
          <w:i/>
          <w:sz w:val="24"/>
          <w:szCs w:val="24"/>
          <w:lang w:val="id-ID"/>
        </w:rPr>
      </w:pPr>
      <w:r w:rsidRPr="00BF3552">
        <w:rPr>
          <w:rFonts w:ascii="Times New Roman" w:hAnsi="Times New Roman" w:cs="Times New Roman"/>
          <w:b/>
          <w:i/>
          <w:sz w:val="24"/>
          <w:szCs w:val="24"/>
          <w:lang w:val="id-ID"/>
        </w:rPr>
        <w:lastRenderedPageBreak/>
        <w:t>ANALYSIS OF IMPLEMENTATION CREDIT MANAGEMENT</w:t>
      </w:r>
      <w:r w:rsidR="00BF3552" w:rsidRPr="00BF3552">
        <w:rPr>
          <w:rFonts w:ascii="Times New Roman" w:hAnsi="Times New Roman" w:cs="Times New Roman"/>
          <w:b/>
          <w:i/>
          <w:sz w:val="24"/>
          <w:szCs w:val="24"/>
          <w:lang w:val="id-ID"/>
        </w:rPr>
        <w:t xml:space="preserve"> </w:t>
      </w:r>
      <w:r w:rsidRPr="00BF3552">
        <w:rPr>
          <w:rFonts w:ascii="Times New Roman" w:hAnsi="Times New Roman" w:cs="Times New Roman"/>
          <w:b/>
          <w:i/>
          <w:sz w:val="24"/>
          <w:szCs w:val="24"/>
          <w:lang w:val="id-ID"/>
        </w:rPr>
        <w:t>TO INCREASE PROFITABILITY IN PT BPR BANK BAPAS 69</w:t>
      </w:r>
      <w:r w:rsidR="00BF3552" w:rsidRPr="00BF3552">
        <w:rPr>
          <w:rFonts w:ascii="Times New Roman" w:hAnsi="Times New Roman" w:cs="Times New Roman"/>
          <w:b/>
          <w:i/>
          <w:sz w:val="24"/>
          <w:szCs w:val="24"/>
          <w:lang w:val="id-ID"/>
        </w:rPr>
        <w:t xml:space="preserve"> </w:t>
      </w:r>
      <w:r w:rsidRPr="00BF3552">
        <w:rPr>
          <w:rFonts w:ascii="Times New Roman" w:hAnsi="Times New Roman" w:cs="Times New Roman"/>
          <w:b/>
          <w:i/>
          <w:sz w:val="24"/>
          <w:szCs w:val="24"/>
          <w:lang w:val="id-ID"/>
        </w:rPr>
        <w:t>BRANCH OFFICE MAGELANG SELATAN</w:t>
      </w:r>
    </w:p>
    <w:p w14:paraId="6AA03869" w14:textId="77777777" w:rsidR="00331FAE" w:rsidRPr="00BF3552" w:rsidRDefault="00331FAE" w:rsidP="00BF3552">
      <w:pPr>
        <w:spacing w:after="0" w:line="240" w:lineRule="auto"/>
        <w:rPr>
          <w:rFonts w:ascii="Times New Roman" w:hAnsi="Times New Roman" w:cs="Times New Roman"/>
          <w:b/>
          <w:i/>
          <w:sz w:val="24"/>
          <w:szCs w:val="24"/>
          <w:lang w:val="id-ID"/>
        </w:rPr>
      </w:pPr>
    </w:p>
    <w:p w14:paraId="1FA10B49" w14:textId="7BF668C1" w:rsidR="00331FAE" w:rsidRPr="00BF3552" w:rsidRDefault="00331FAE" w:rsidP="00BF3552">
      <w:pPr>
        <w:spacing w:after="0" w:line="240" w:lineRule="auto"/>
        <w:jc w:val="center"/>
        <w:rPr>
          <w:rFonts w:ascii="Times New Roman" w:hAnsi="Times New Roman" w:cs="Times New Roman"/>
          <w:b/>
          <w:i/>
          <w:sz w:val="24"/>
          <w:szCs w:val="24"/>
          <w:lang w:val="id-ID"/>
        </w:rPr>
      </w:pPr>
      <w:r w:rsidRPr="00BF3552">
        <w:rPr>
          <w:rFonts w:ascii="Times New Roman" w:hAnsi="Times New Roman" w:cs="Times New Roman"/>
          <w:b/>
          <w:i/>
          <w:sz w:val="24"/>
          <w:szCs w:val="24"/>
          <w:lang w:val="id-ID"/>
        </w:rPr>
        <w:t>Choirul Pramudiansyah</w:t>
      </w:r>
    </w:p>
    <w:p w14:paraId="371DA542" w14:textId="77777777" w:rsidR="00701D79" w:rsidRPr="00BF3552" w:rsidRDefault="00701D79" w:rsidP="00BF3552">
      <w:pPr>
        <w:spacing w:after="0" w:line="240" w:lineRule="auto"/>
        <w:jc w:val="center"/>
        <w:rPr>
          <w:rFonts w:ascii="Times New Roman" w:hAnsi="Times New Roman" w:cs="Times New Roman"/>
          <w:b/>
          <w:i/>
          <w:sz w:val="24"/>
          <w:szCs w:val="24"/>
          <w:lang w:val="id-ID"/>
        </w:rPr>
      </w:pPr>
    </w:p>
    <w:p w14:paraId="003AB2A9" w14:textId="77777777" w:rsidR="00331FAE" w:rsidRPr="00BF3552" w:rsidRDefault="00331FAE" w:rsidP="00BF3552">
      <w:pPr>
        <w:pStyle w:val="Heading1"/>
        <w:spacing w:after="0" w:afterAutospacing="0" w:line="240" w:lineRule="auto"/>
        <w:rPr>
          <w:i/>
        </w:rPr>
      </w:pPr>
      <w:bookmarkStart w:id="1" w:name="_Toc108423455"/>
      <w:r w:rsidRPr="00BF3552">
        <w:rPr>
          <w:i/>
        </w:rPr>
        <w:t>Abstract</w:t>
      </w:r>
      <w:bookmarkEnd w:id="1"/>
    </w:p>
    <w:p w14:paraId="66E4A747" w14:textId="77777777" w:rsidR="00331FAE" w:rsidRPr="00BF3552" w:rsidRDefault="00331FAE" w:rsidP="00BF3552">
      <w:pPr>
        <w:spacing w:after="0" w:line="240" w:lineRule="auto"/>
        <w:jc w:val="both"/>
        <w:rPr>
          <w:rFonts w:ascii="Times New Roman" w:hAnsi="Times New Roman" w:cs="Times New Roman"/>
          <w:i/>
          <w:sz w:val="24"/>
          <w:szCs w:val="24"/>
          <w:lang w:val="id-ID"/>
        </w:rPr>
      </w:pPr>
      <w:bookmarkStart w:id="2" w:name="_Hlk107201901"/>
      <w:r w:rsidRPr="00BF3552">
        <w:rPr>
          <w:rFonts w:ascii="Times New Roman" w:hAnsi="Times New Roman" w:cs="Times New Roman"/>
          <w:i/>
          <w:sz w:val="24"/>
          <w:szCs w:val="24"/>
          <w:lang w:val="id-ID"/>
        </w:rPr>
        <w:t xml:space="preserve">This research was conducted at PT. BPR Bank </w:t>
      </w:r>
      <w:proofErr w:type="spellStart"/>
      <w:r w:rsidRPr="00BF3552">
        <w:rPr>
          <w:rFonts w:ascii="Times New Roman" w:hAnsi="Times New Roman" w:cs="Times New Roman"/>
          <w:i/>
          <w:sz w:val="24"/>
          <w:szCs w:val="24"/>
        </w:rPr>
        <w:t>Bapas</w:t>
      </w:r>
      <w:proofErr w:type="spellEnd"/>
      <w:r w:rsidRPr="00BF3552">
        <w:rPr>
          <w:rFonts w:ascii="Times New Roman" w:hAnsi="Times New Roman" w:cs="Times New Roman"/>
          <w:i/>
          <w:sz w:val="24"/>
          <w:szCs w:val="24"/>
          <w:lang w:val="id-ID"/>
        </w:rPr>
        <w:t xml:space="preserve"> 69 South Magelang Branch Office</w:t>
      </w:r>
      <w:r w:rsidRPr="00BF3552">
        <w:rPr>
          <w:rFonts w:ascii="Times New Roman" w:hAnsi="Times New Roman" w:cs="Times New Roman"/>
          <w:i/>
          <w:sz w:val="24"/>
          <w:szCs w:val="24"/>
        </w:rPr>
        <w:t xml:space="preserve">. The objective of </w:t>
      </w:r>
      <w:r w:rsidRPr="00BF3552">
        <w:rPr>
          <w:rFonts w:ascii="Times New Roman" w:hAnsi="Times New Roman" w:cs="Times New Roman"/>
          <w:i/>
          <w:sz w:val="24"/>
          <w:szCs w:val="24"/>
          <w:lang w:val="id-ID"/>
        </w:rPr>
        <w:t xml:space="preserve">this study is to describe the </w:t>
      </w:r>
      <w:r w:rsidRPr="00BF3552">
        <w:rPr>
          <w:rFonts w:ascii="Times New Roman" w:hAnsi="Times New Roman" w:cs="Times New Roman"/>
          <w:i/>
          <w:sz w:val="24"/>
          <w:szCs w:val="24"/>
        </w:rPr>
        <w:t>credit management application</w:t>
      </w:r>
      <w:r w:rsidRPr="00BF3552">
        <w:rPr>
          <w:rFonts w:ascii="Times New Roman" w:hAnsi="Times New Roman" w:cs="Times New Roman"/>
          <w:i/>
          <w:sz w:val="24"/>
          <w:szCs w:val="24"/>
          <w:lang w:val="id-ID"/>
        </w:rPr>
        <w:t xml:space="preserve"> at PT. BPR Bank Bapas 69 Magelang Selatan Branch Office </w:t>
      </w:r>
      <w:r w:rsidRPr="00BF3552">
        <w:rPr>
          <w:rFonts w:ascii="Times New Roman" w:hAnsi="Times New Roman" w:cs="Times New Roman"/>
          <w:i/>
          <w:sz w:val="24"/>
          <w:szCs w:val="24"/>
        </w:rPr>
        <w:t>to</w:t>
      </w:r>
      <w:r w:rsidRPr="00BF3552">
        <w:rPr>
          <w:rFonts w:ascii="Times New Roman" w:hAnsi="Times New Roman" w:cs="Times New Roman"/>
          <w:i/>
          <w:sz w:val="24"/>
          <w:szCs w:val="24"/>
          <w:lang w:val="id-ID"/>
        </w:rPr>
        <w:t xml:space="preserve"> increase profitability through implemented credit policies and describe effective credit management in terms of credit ratios and profitability ratios. The results of this study obtained an analysis </w:t>
      </w:r>
      <w:r w:rsidRPr="00BF3552">
        <w:rPr>
          <w:rFonts w:ascii="Times New Roman" w:hAnsi="Times New Roman" w:cs="Times New Roman"/>
          <w:i/>
          <w:sz w:val="24"/>
          <w:szCs w:val="24"/>
        </w:rPr>
        <w:t>of</w:t>
      </w:r>
      <w:r w:rsidRPr="00BF3552">
        <w:rPr>
          <w:rFonts w:ascii="Times New Roman" w:hAnsi="Times New Roman" w:cs="Times New Roman"/>
          <w:i/>
          <w:sz w:val="24"/>
          <w:szCs w:val="24"/>
          <w:lang w:val="id-ID"/>
        </w:rPr>
        <w:t xml:space="preserve"> credit management applied by PT. BPR Bank Bapas 69 Magelang Branch Office</w:t>
      </w:r>
      <w:r w:rsidRPr="00BF3552">
        <w:rPr>
          <w:rFonts w:ascii="Times New Roman" w:hAnsi="Times New Roman" w:cs="Times New Roman"/>
          <w:i/>
          <w:sz w:val="24"/>
          <w:szCs w:val="24"/>
        </w:rPr>
        <w:t>,</w:t>
      </w:r>
      <w:r w:rsidRPr="00BF3552">
        <w:rPr>
          <w:rFonts w:ascii="Times New Roman" w:hAnsi="Times New Roman" w:cs="Times New Roman"/>
          <w:i/>
          <w:sz w:val="24"/>
          <w:szCs w:val="24"/>
          <w:lang w:val="id-ID"/>
        </w:rPr>
        <w:t xml:space="preserve"> in providing credit policies</w:t>
      </w:r>
      <w:r w:rsidRPr="00BF3552">
        <w:rPr>
          <w:rFonts w:ascii="Times New Roman" w:hAnsi="Times New Roman" w:cs="Times New Roman"/>
          <w:i/>
          <w:sz w:val="24"/>
          <w:szCs w:val="24"/>
        </w:rPr>
        <w:t>, uses</w:t>
      </w:r>
      <w:r w:rsidRPr="00BF3552">
        <w:rPr>
          <w:rFonts w:ascii="Times New Roman" w:hAnsi="Times New Roman" w:cs="Times New Roman"/>
          <w:i/>
          <w:sz w:val="24"/>
          <w:szCs w:val="24"/>
          <w:lang w:val="id-ID"/>
        </w:rPr>
        <w:t xml:space="preserve"> the principle of prudence, credit planning, lending, credit supervision</w:t>
      </w:r>
      <w:r w:rsidRPr="00BF3552">
        <w:rPr>
          <w:rFonts w:ascii="Times New Roman" w:hAnsi="Times New Roman" w:cs="Times New Roman"/>
          <w:i/>
          <w:sz w:val="24"/>
          <w:szCs w:val="24"/>
        </w:rPr>
        <w:t>,</w:t>
      </w:r>
      <w:r w:rsidRPr="00BF3552">
        <w:rPr>
          <w:rFonts w:ascii="Times New Roman" w:hAnsi="Times New Roman" w:cs="Times New Roman"/>
          <w:i/>
          <w:sz w:val="24"/>
          <w:szCs w:val="24"/>
          <w:lang w:val="id-ID"/>
        </w:rPr>
        <w:t xml:space="preserve"> and efforts to secure non-performing loans. Credit management also </w:t>
      </w:r>
      <w:r w:rsidRPr="00BF3552">
        <w:rPr>
          <w:rFonts w:ascii="Times New Roman" w:hAnsi="Times New Roman" w:cs="Times New Roman"/>
          <w:i/>
          <w:sz w:val="24"/>
          <w:szCs w:val="24"/>
        </w:rPr>
        <w:t>involves</w:t>
      </w:r>
      <w:r w:rsidRPr="00BF3552">
        <w:rPr>
          <w:rFonts w:ascii="Times New Roman" w:hAnsi="Times New Roman" w:cs="Times New Roman"/>
          <w:i/>
          <w:sz w:val="24"/>
          <w:szCs w:val="24"/>
          <w:lang w:val="id-ID"/>
        </w:rPr>
        <w:t xml:space="preserve"> strategies to increase profits which increase every year. The measurement results using </w:t>
      </w:r>
      <w:r w:rsidRPr="00BF3552">
        <w:rPr>
          <w:rFonts w:ascii="Times New Roman" w:hAnsi="Times New Roman" w:cs="Times New Roman"/>
          <w:i/>
          <w:sz w:val="24"/>
          <w:szCs w:val="24"/>
        </w:rPr>
        <w:t>financial credit</w:t>
      </w:r>
      <w:r w:rsidRPr="00BF3552">
        <w:rPr>
          <w:rFonts w:ascii="Times New Roman" w:hAnsi="Times New Roman" w:cs="Times New Roman"/>
          <w:i/>
          <w:sz w:val="24"/>
          <w:szCs w:val="24"/>
          <w:lang w:val="id-ID"/>
        </w:rPr>
        <w:t xml:space="preserve"> ratios</w:t>
      </w:r>
      <w:r w:rsidRPr="00BF3552">
        <w:rPr>
          <w:rFonts w:ascii="Times New Roman" w:hAnsi="Times New Roman" w:cs="Times New Roman"/>
          <w:i/>
          <w:sz w:val="24"/>
          <w:szCs w:val="24"/>
        </w:rPr>
        <w:t>,</w:t>
      </w:r>
      <w:r w:rsidRPr="00BF3552">
        <w:rPr>
          <w:rFonts w:ascii="Times New Roman" w:hAnsi="Times New Roman" w:cs="Times New Roman"/>
          <w:i/>
          <w:sz w:val="24"/>
          <w:szCs w:val="24"/>
          <w:lang w:val="id-ID"/>
        </w:rPr>
        <w:t xml:space="preserve"> including the Loan to Deposit Ratio achieved in 2019-2021</w:t>
      </w:r>
      <w:r w:rsidRPr="00BF3552">
        <w:rPr>
          <w:rFonts w:ascii="Times New Roman" w:hAnsi="Times New Roman" w:cs="Times New Roman"/>
          <w:i/>
          <w:sz w:val="24"/>
          <w:szCs w:val="24"/>
        </w:rPr>
        <w:t>,</w:t>
      </w:r>
      <w:r w:rsidRPr="00BF3552">
        <w:rPr>
          <w:rFonts w:ascii="Times New Roman" w:hAnsi="Times New Roman" w:cs="Times New Roman"/>
          <w:i/>
          <w:sz w:val="24"/>
          <w:szCs w:val="24"/>
          <w:lang w:val="id-ID"/>
        </w:rPr>
        <w:t xml:space="preserve"> can be said to be effective because it is still at the limit set by Bank Indonesia, namely 75%-100%</w:t>
      </w:r>
      <w:r w:rsidRPr="00BF3552">
        <w:rPr>
          <w:rFonts w:ascii="Times New Roman" w:hAnsi="Times New Roman" w:cs="Times New Roman"/>
          <w:i/>
          <w:sz w:val="24"/>
          <w:szCs w:val="24"/>
        </w:rPr>
        <w:t>. However, in</w:t>
      </w:r>
      <w:r w:rsidRPr="00BF3552">
        <w:rPr>
          <w:rFonts w:ascii="Times New Roman" w:hAnsi="Times New Roman" w:cs="Times New Roman"/>
          <w:i/>
          <w:sz w:val="24"/>
          <w:szCs w:val="24"/>
          <w:lang w:val="id-ID"/>
        </w:rPr>
        <w:t xml:space="preserve"> 2021 it is still under Bank Indonesia regulations. The value of the Capital Adequacy Ratio can be said to be effective because it is </w:t>
      </w:r>
      <w:r w:rsidRPr="00BF3552">
        <w:rPr>
          <w:rFonts w:ascii="Times New Roman" w:hAnsi="Times New Roman" w:cs="Times New Roman"/>
          <w:i/>
          <w:sz w:val="24"/>
          <w:szCs w:val="24"/>
        </w:rPr>
        <w:t>to</w:t>
      </w:r>
      <w:r w:rsidRPr="00BF3552">
        <w:rPr>
          <w:rFonts w:ascii="Times New Roman" w:hAnsi="Times New Roman" w:cs="Times New Roman"/>
          <w:i/>
          <w:sz w:val="24"/>
          <w:szCs w:val="24"/>
          <w:lang w:val="id-ID"/>
        </w:rPr>
        <w:t xml:space="preserve"> Bank Indonesia regulations, which is above 8%. Bank Indonesia Regulations say that return on assets is healthy, which is above 1.5%. Return On Equity has decreased but is still </w:t>
      </w:r>
      <w:r w:rsidRPr="00BF3552">
        <w:rPr>
          <w:rFonts w:ascii="Times New Roman" w:hAnsi="Times New Roman" w:cs="Times New Roman"/>
          <w:i/>
          <w:sz w:val="24"/>
          <w:szCs w:val="24"/>
        </w:rPr>
        <w:t>by</w:t>
      </w:r>
      <w:r w:rsidRPr="00BF3552">
        <w:rPr>
          <w:rFonts w:ascii="Times New Roman" w:hAnsi="Times New Roman" w:cs="Times New Roman"/>
          <w:i/>
          <w:sz w:val="24"/>
          <w:szCs w:val="24"/>
          <w:lang w:val="id-ID"/>
        </w:rPr>
        <w:t xml:space="preserve"> Bank Indonesia Regulations, which is above 12.5%. The ratio of operating expenses fluctuated but was still below 94%, namely from Bank Indonesia regulations. </w:t>
      </w:r>
      <w:r w:rsidRPr="00BF3552">
        <w:rPr>
          <w:rFonts w:ascii="Times New Roman" w:hAnsi="Times New Roman" w:cs="Times New Roman"/>
          <w:i/>
          <w:sz w:val="24"/>
          <w:szCs w:val="24"/>
        </w:rPr>
        <w:t>The percentage</w:t>
      </w:r>
      <w:r w:rsidRPr="00BF3552">
        <w:rPr>
          <w:rFonts w:ascii="Times New Roman" w:hAnsi="Times New Roman" w:cs="Times New Roman"/>
          <w:i/>
          <w:sz w:val="24"/>
          <w:szCs w:val="24"/>
          <w:lang w:val="id-ID"/>
        </w:rPr>
        <w:t xml:space="preserve"> of Net Profit Margin fluctuated. From the calculation of the ratio obtained fluctuating results, this is a </w:t>
      </w:r>
      <w:r w:rsidRPr="00BF3552">
        <w:rPr>
          <w:rFonts w:ascii="Times New Roman" w:hAnsi="Times New Roman" w:cs="Times New Roman"/>
          <w:i/>
          <w:sz w:val="24"/>
          <w:szCs w:val="24"/>
        </w:rPr>
        <w:t>particular</w:t>
      </w:r>
      <w:r w:rsidRPr="00BF3552">
        <w:rPr>
          <w:rFonts w:ascii="Times New Roman" w:hAnsi="Times New Roman" w:cs="Times New Roman"/>
          <w:i/>
          <w:sz w:val="24"/>
          <w:szCs w:val="24"/>
          <w:lang w:val="id-ID"/>
        </w:rPr>
        <w:t xml:space="preserve"> concern for credit management policies in managing credit and profitability.</w:t>
      </w:r>
    </w:p>
    <w:bookmarkEnd w:id="2"/>
    <w:p w14:paraId="5EAC6A2C" w14:textId="77777777" w:rsidR="00BF3552" w:rsidRPr="00BF3552" w:rsidRDefault="00BF3552" w:rsidP="00BF3552">
      <w:pPr>
        <w:spacing w:after="0" w:line="240" w:lineRule="auto"/>
        <w:jc w:val="both"/>
        <w:rPr>
          <w:rFonts w:ascii="Times New Roman" w:hAnsi="Times New Roman" w:cs="Times New Roman"/>
          <w:b/>
          <w:i/>
          <w:sz w:val="24"/>
          <w:szCs w:val="24"/>
          <w:lang w:val="id-ID"/>
        </w:rPr>
      </w:pPr>
    </w:p>
    <w:p w14:paraId="6CF23D3C" w14:textId="5C4F062A" w:rsidR="00331FAE" w:rsidRPr="00BF3552" w:rsidRDefault="00331FAE" w:rsidP="00BF3552">
      <w:pPr>
        <w:spacing w:after="0" w:line="240" w:lineRule="auto"/>
        <w:jc w:val="both"/>
        <w:rPr>
          <w:rFonts w:ascii="Times New Roman" w:hAnsi="Times New Roman" w:cs="Times New Roman"/>
          <w:i/>
          <w:sz w:val="24"/>
          <w:szCs w:val="24"/>
          <w:lang w:val="id-ID"/>
        </w:rPr>
      </w:pPr>
      <w:r w:rsidRPr="00BF3552">
        <w:rPr>
          <w:rFonts w:ascii="Times New Roman" w:hAnsi="Times New Roman" w:cs="Times New Roman"/>
          <w:b/>
          <w:i/>
          <w:sz w:val="24"/>
          <w:szCs w:val="24"/>
          <w:lang w:val="id-ID"/>
        </w:rPr>
        <w:t>Keywords:</w:t>
      </w:r>
      <w:r w:rsidRPr="00BF3552">
        <w:rPr>
          <w:rFonts w:ascii="Times New Roman" w:hAnsi="Times New Roman" w:cs="Times New Roman"/>
          <w:i/>
          <w:sz w:val="24"/>
          <w:szCs w:val="24"/>
          <w:lang w:val="id-ID"/>
        </w:rPr>
        <w:t xml:space="preserve"> Credit Management, Profitability.</w:t>
      </w:r>
    </w:p>
    <w:sectPr w:rsidR="00331FAE" w:rsidRPr="00BF3552" w:rsidSect="00BF355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tjC2tDQzNDO1NDZT0lEKTi0uzszPAykwrAUACcNXuywAAAA="/>
  </w:docVars>
  <w:rsids>
    <w:rsidRoot w:val="00331FAE"/>
    <w:rsid w:val="000E768E"/>
    <w:rsid w:val="00310D7F"/>
    <w:rsid w:val="00331FAE"/>
    <w:rsid w:val="00487456"/>
    <w:rsid w:val="006D7C2A"/>
    <w:rsid w:val="00701D79"/>
    <w:rsid w:val="007E6B21"/>
    <w:rsid w:val="008A2FC9"/>
    <w:rsid w:val="008E53A1"/>
    <w:rsid w:val="00983B6F"/>
    <w:rsid w:val="00B32B33"/>
    <w:rsid w:val="00BF3552"/>
    <w:rsid w:val="00C476EB"/>
    <w:rsid w:val="00D400AA"/>
    <w:rsid w:val="00D71C8B"/>
    <w:rsid w:val="00F24D90"/>
  </w:rsids>
  <m:mathPr>
    <m:mathFont m:val="Cambria Math"/>
    <m:brkBin m:val="before"/>
    <m:brkBinSub m:val="--"/>
    <m:smallFrac m:val="0"/>
    <m:dispDef m:val="0"/>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DC08"/>
  <w15:chartTrackingRefBased/>
  <w15:docId w15:val="{906BFA8E-2B38-4476-BCD9-BBFA426C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FAE"/>
  </w:style>
  <w:style w:type="paragraph" w:styleId="Heading1">
    <w:name w:val="heading 1"/>
    <w:basedOn w:val="Normal"/>
    <w:next w:val="Normal"/>
    <w:link w:val="Heading1Char"/>
    <w:uiPriority w:val="9"/>
    <w:qFormat/>
    <w:rsid w:val="00331FAE"/>
    <w:pPr>
      <w:spacing w:after="100" w:afterAutospacing="1" w:line="480" w:lineRule="auto"/>
      <w:contextualSpacing/>
      <w:jc w:val="center"/>
      <w:outlineLvl w:val="0"/>
    </w:pPr>
    <w:rPr>
      <w:rFonts w:ascii="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AE"/>
    <w:rPr>
      <w:rFonts w:ascii="Times New Roman"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Suri Lia Wati</cp:lastModifiedBy>
  <cp:revision>5</cp:revision>
  <dcterms:created xsi:type="dcterms:W3CDTF">2022-07-11T07:16:00Z</dcterms:created>
  <dcterms:modified xsi:type="dcterms:W3CDTF">2022-07-22T04:03:00Z</dcterms:modified>
</cp:coreProperties>
</file>